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D26ED" w14:textId="77777777" w:rsidR="00CA2451" w:rsidRDefault="002040B0">
      <w:pPr>
        <w:spacing w:before="240" w:after="240"/>
        <w:jc w:val="center"/>
        <w:rPr>
          <w:b/>
          <w:bCs/>
          <w:sz w:val="32"/>
          <w:szCs w:val="32"/>
        </w:rPr>
      </w:pPr>
      <w:r>
        <w:rPr>
          <w:b/>
          <w:bCs/>
          <w:sz w:val="32"/>
          <w:szCs w:val="32"/>
        </w:rPr>
        <w:t>Food Allergy and Special Diets Accommodations in University Housing and Dining Services at OSU</w:t>
      </w:r>
    </w:p>
    <w:p w14:paraId="1ABB4425" w14:textId="77777777" w:rsidR="00CA2451" w:rsidRDefault="00000000">
      <w:pPr>
        <w:spacing w:before="240" w:after="240"/>
        <w:rPr>
          <w:sz w:val="24"/>
          <w:szCs w:val="24"/>
        </w:rPr>
      </w:pPr>
      <w:hyperlink w:anchor="_rlwey9p0g0kc">
        <w:r w:rsidR="002040B0">
          <w:rPr>
            <w:b/>
            <w:bCs/>
            <w:color w:val="1155CC"/>
            <w:sz w:val="24"/>
            <w:szCs w:val="24"/>
            <w:u w:val="single"/>
          </w:rPr>
          <w:t>Introduction</w:t>
        </w:r>
      </w:hyperlink>
      <w:r w:rsidR="002040B0">
        <w:rPr>
          <w:sz w:val="24"/>
          <w:szCs w:val="24"/>
        </w:rPr>
        <w:t xml:space="preserve"> – how common dietary needs are approached by UHDS</w:t>
      </w:r>
    </w:p>
    <w:p w14:paraId="1D31F52B" w14:textId="77777777" w:rsidR="00CA2451" w:rsidRDefault="00000000">
      <w:pPr>
        <w:spacing w:before="240" w:after="240"/>
        <w:ind w:left="360"/>
        <w:rPr>
          <w:sz w:val="24"/>
          <w:szCs w:val="24"/>
        </w:rPr>
      </w:pPr>
      <w:hyperlink w:anchor="_ntswiirsqb29">
        <w:r w:rsidR="002040B0">
          <w:rPr>
            <w:b/>
            <w:bCs/>
            <w:color w:val="1155CC"/>
            <w:sz w:val="24"/>
            <w:szCs w:val="24"/>
            <w:u w:val="single"/>
          </w:rPr>
          <w:t>Information for Parents and Guardians</w:t>
        </w:r>
      </w:hyperlink>
    </w:p>
    <w:p w14:paraId="20972F2A" w14:textId="77777777" w:rsidR="00CA2451" w:rsidRDefault="00000000">
      <w:pPr>
        <w:spacing w:before="240" w:after="240"/>
        <w:ind w:left="360" w:hanging="360"/>
        <w:rPr>
          <w:sz w:val="24"/>
          <w:szCs w:val="24"/>
        </w:rPr>
      </w:pPr>
      <w:hyperlink w:anchor="_d6101rg2zn8a">
        <w:r w:rsidR="002040B0">
          <w:rPr>
            <w:b/>
            <w:bCs/>
            <w:color w:val="1155CC"/>
            <w:sz w:val="24"/>
            <w:szCs w:val="24"/>
            <w:u w:val="single"/>
          </w:rPr>
          <w:t>Menu nutrition screening webpage</w:t>
        </w:r>
      </w:hyperlink>
      <w:r w:rsidR="002040B0">
        <w:rPr>
          <w:sz w:val="24"/>
          <w:szCs w:val="24"/>
        </w:rPr>
        <w:t xml:space="preserve"> – enables individual menu screening of allergens and dietary practices, and provides nutrition and ingredient information</w:t>
      </w:r>
    </w:p>
    <w:p w14:paraId="62F92F1B" w14:textId="77777777" w:rsidR="00CA2451" w:rsidRDefault="00000000">
      <w:pPr>
        <w:spacing w:before="240" w:after="240"/>
        <w:ind w:left="360" w:hanging="360"/>
        <w:rPr>
          <w:sz w:val="24"/>
          <w:szCs w:val="24"/>
        </w:rPr>
      </w:pPr>
      <w:hyperlink w:anchor="_5751e0yjyldt">
        <w:r w:rsidR="002040B0">
          <w:rPr>
            <w:b/>
            <w:bCs/>
            <w:color w:val="1155CC"/>
            <w:sz w:val="24"/>
            <w:szCs w:val="24"/>
            <w:u w:val="single"/>
          </w:rPr>
          <w:t>Special diet management and accommodation</w:t>
        </w:r>
      </w:hyperlink>
      <w:r w:rsidR="002040B0">
        <w:rPr>
          <w:sz w:val="24"/>
          <w:szCs w:val="24"/>
        </w:rPr>
        <w:t xml:space="preserve"> – more in-depth information on special dietary management on campus</w:t>
      </w:r>
    </w:p>
    <w:p w14:paraId="0C90F847" w14:textId="77777777" w:rsidR="00CA2451" w:rsidRDefault="00000000">
      <w:pPr>
        <w:spacing w:before="240" w:after="240"/>
        <w:ind w:firstLine="720"/>
        <w:rPr>
          <w:b/>
          <w:bCs/>
          <w:sz w:val="24"/>
          <w:szCs w:val="24"/>
        </w:rPr>
      </w:pPr>
      <w:hyperlink w:anchor="_9g3lqyd6nz7b">
        <w:r w:rsidR="002040B0">
          <w:rPr>
            <w:b/>
            <w:bCs/>
            <w:color w:val="1155CC"/>
            <w:sz w:val="24"/>
            <w:szCs w:val="24"/>
            <w:u w:val="single"/>
          </w:rPr>
          <w:t>Cooking on campus in residence halls</w:t>
        </w:r>
      </w:hyperlink>
    </w:p>
    <w:p w14:paraId="30916AA0" w14:textId="77777777" w:rsidR="00CA2451" w:rsidRDefault="00000000">
      <w:pPr>
        <w:spacing w:before="240" w:after="240"/>
        <w:ind w:firstLine="720"/>
        <w:rPr>
          <w:b/>
          <w:bCs/>
          <w:sz w:val="24"/>
          <w:szCs w:val="24"/>
        </w:rPr>
      </w:pPr>
      <w:hyperlink w:anchor="_isew1ajilb52">
        <w:r w:rsidR="002040B0">
          <w:rPr>
            <w:b/>
            <w:bCs/>
            <w:color w:val="1155CC"/>
            <w:sz w:val="24"/>
            <w:szCs w:val="24"/>
            <w:u w:val="single"/>
          </w:rPr>
          <w:t>Cascadia Market</w:t>
        </w:r>
      </w:hyperlink>
    </w:p>
    <w:p w14:paraId="55B443C1" w14:textId="77777777" w:rsidR="00CA2451" w:rsidRDefault="00000000">
      <w:pPr>
        <w:spacing w:before="240" w:after="240"/>
        <w:ind w:firstLine="720"/>
        <w:rPr>
          <w:b/>
          <w:bCs/>
          <w:sz w:val="24"/>
          <w:szCs w:val="24"/>
        </w:rPr>
      </w:pPr>
      <w:hyperlink w:anchor="_a6oww27rmwmi">
        <w:r w:rsidR="002040B0">
          <w:rPr>
            <w:b/>
            <w:bCs/>
            <w:color w:val="1155CC"/>
            <w:sz w:val="24"/>
            <w:szCs w:val="24"/>
            <w:u w:val="single"/>
          </w:rPr>
          <w:t>Food delivery and pick-up with the Starship app</w:t>
        </w:r>
      </w:hyperlink>
    </w:p>
    <w:p w14:paraId="7F9835D3" w14:textId="77777777" w:rsidR="00CA2451" w:rsidRDefault="00000000">
      <w:pPr>
        <w:spacing w:before="240" w:after="240"/>
        <w:ind w:left="720" w:hanging="720"/>
        <w:rPr>
          <w:sz w:val="24"/>
          <w:szCs w:val="24"/>
        </w:rPr>
      </w:pPr>
      <w:hyperlink w:anchor="_h5vmtj64rl78">
        <w:r w:rsidR="002040B0">
          <w:rPr>
            <w:b/>
            <w:bCs/>
            <w:color w:val="1155CC"/>
            <w:sz w:val="24"/>
            <w:szCs w:val="24"/>
            <w:u w:val="single"/>
          </w:rPr>
          <w:t>Additional support tools and accommodations</w:t>
        </w:r>
      </w:hyperlink>
      <w:r w:rsidR="002040B0">
        <w:rPr>
          <w:sz w:val="24"/>
          <w:szCs w:val="24"/>
        </w:rPr>
        <w:t xml:space="preserve"> - the types of tools and accommodations that can be provided, as well as which accommodations first require connection through Disability Access Services</w:t>
      </w:r>
    </w:p>
    <w:p w14:paraId="0D55E361" w14:textId="77777777" w:rsidR="00CA2451" w:rsidRDefault="00000000">
      <w:pPr>
        <w:spacing w:before="240" w:after="240"/>
        <w:ind w:left="360" w:hanging="360"/>
        <w:rPr>
          <w:sz w:val="24"/>
          <w:szCs w:val="24"/>
        </w:rPr>
      </w:pPr>
      <w:hyperlink w:anchor="_9alljrq75cei">
        <w:r w:rsidR="002040B0">
          <w:rPr>
            <w:b/>
            <w:bCs/>
            <w:color w:val="1155CC"/>
            <w:sz w:val="24"/>
            <w:szCs w:val="24"/>
            <w:u w:val="single"/>
          </w:rPr>
          <w:t>Specific dietary practice considerations</w:t>
        </w:r>
      </w:hyperlink>
      <w:r w:rsidR="002040B0">
        <w:rPr>
          <w:sz w:val="24"/>
          <w:szCs w:val="24"/>
        </w:rPr>
        <w:t xml:space="preserve"> – celiac disease/gluten intolerance, halal, and vegetarian/vegan</w:t>
      </w:r>
    </w:p>
    <w:p w14:paraId="3300C04E" w14:textId="77777777" w:rsidR="00CA2451" w:rsidRDefault="00000000">
      <w:pPr>
        <w:spacing w:before="240" w:after="240"/>
        <w:ind w:left="360" w:hanging="360"/>
        <w:rPr>
          <w:sz w:val="24"/>
          <w:szCs w:val="24"/>
        </w:rPr>
      </w:pPr>
      <w:hyperlink w:anchor="_l4lihrc89i18">
        <w:r w:rsidR="002040B0">
          <w:rPr>
            <w:b/>
            <w:bCs/>
            <w:color w:val="1155CC"/>
            <w:sz w:val="24"/>
            <w:szCs w:val="24"/>
            <w:u w:val="single"/>
          </w:rPr>
          <w:t>Allergy risk and cross-contact disclaimer</w:t>
        </w:r>
      </w:hyperlink>
      <w:r w:rsidR="002040B0">
        <w:rPr>
          <w:sz w:val="24"/>
          <w:szCs w:val="24"/>
        </w:rPr>
        <w:t xml:space="preserve"> – includes information for epinephrine carriers and about Eco2Go</w:t>
      </w:r>
    </w:p>
    <w:p w14:paraId="3EDE2F6D" w14:textId="77777777" w:rsidR="00CA2451" w:rsidRDefault="00000000">
      <w:pPr>
        <w:spacing w:before="240" w:after="240"/>
        <w:rPr>
          <w:b/>
          <w:bCs/>
          <w:sz w:val="24"/>
          <w:szCs w:val="24"/>
        </w:rPr>
      </w:pPr>
      <w:hyperlink w:anchor="_47srtqptfqek">
        <w:r w:rsidR="002040B0">
          <w:rPr>
            <w:b/>
            <w:bCs/>
            <w:color w:val="1155CC"/>
            <w:sz w:val="24"/>
            <w:szCs w:val="24"/>
            <w:u w:val="single"/>
          </w:rPr>
          <w:t>Dining Plan Information</w:t>
        </w:r>
      </w:hyperlink>
    </w:p>
    <w:p w14:paraId="6CCE4030" w14:textId="77777777" w:rsidR="00CA2451" w:rsidRDefault="00000000">
      <w:pPr>
        <w:spacing w:before="240" w:after="240"/>
        <w:rPr>
          <w:b/>
          <w:bCs/>
          <w:sz w:val="24"/>
          <w:szCs w:val="24"/>
        </w:rPr>
      </w:pPr>
      <w:hyperlink w:anchor="_tmu47tf5kpf">
        <w:r w:rsidR="002040B0">
          <w:rPr>
            <w:b/>
            <w:bCs/>
            <w:color w:val="1155CC"/>
            <w:sz w:val="24"/>
            <w:szCs w:val="24"/>
            <w:u w:val="single"/>
          </w:rPr>
          <w:t>Dietary needs during Summer camps and conferences</w:t>
        </w:r>
      </w:hyperlink>
    </w:p>
    <w:p w14:paraId="3F81583D" w14:textId="77777777" w:rsidR="00CA2451" w:rsidRDefault="00000000">
      <w:pPr>
        <w:spacing w:before="240" w:after="240"/>
        <w:rPr>
          <w:b/>
          <w:bCs/>
          <w:sz w:val="24"/>
          <w:szCs w:val="24"/>
        </w:rPr>
      </w:pPr>
      <w:hyperlink w:anchor="_ltg9c6kg9wv">
        <w:r w:rsidR="002040B0">
          <w:rPr>
            <w:b/>
            <w:bCs/>
            <w:color w:val="1155CC"/>
            <w:sz w:val="24"/>
            <w:szCs w:val="24"/>
            <w:u w:val="single"/>
          </w:rPr>
          <w:t>Dietary needs in catering</w:t>
        </w:r>
      </w:hyperlink>
    </w:p>
    <w:p w14:paraId="6022FE17" w14:textId="77777777" w:rsidR="00CA2451" w:rsidRDefault="00000000">
      <w:pPr>
        <w:spacing w:before="240" w:after="240"/>
        <w:rPr>
          <w:b/>
          <w:bCs/>
          <w:sz w:val="24"/>
          <w:szCs w:val="24"/>
        </w:rPr>
      </w:pPr>
      <w:hyperlink w:anchor="_rhli9b9c5767">
        <w:r w:rsidR="002040B0">
          <w:rPr>
            <w:b/>
            <w:bCs/>
            <w:color w:val="1155CC"/>
            <w:sz w:val="24"/>
            <w:szCs w:val="24"/>
            <w:u w:val="single"/>
          </w:rPr>
          <w:t>Allergen and dietary practice icons and definitions</w:t>
        </w:r>
      </w:hyperlink>
    </w:p>
    <w:p w14:paraId="397AA1B5" w14:textId="77777777" w:rsidR="00CA2451" w:rsidRDefault="00000000">
      <w:pPr>
        <w:spacing w:before="240" w:after="240"/>
        <w:rPr>
          <w:b/>
          <w:bCs/>
          <w:sz w:val="24"/>
          <w:szCs w:val="24"/>
        </w:rPr>
      </w:pPr>
      <w:hyperlink w:anchor="_nv13sbl63v0c">
        <w:r w:rsidR="002040B0">
          <w:rPr>
            <w:b/>
            <w:bCs/>
            <w:color w:val="1155CC"/>
            <w:sz w:val="24"/>
            <w:szCs w:val="24"/>
            <w:u w:val="single"/>
          </w:rPr>
          <w:t>Frequently asked questions</w:t>
        </w:r>
      </w:hyperlink>
    </w:p>
    <w:p w14:paraId="309A5F11" w14:textId="77777777" w:rsidR="00CA2451" w:rsidRDefault="00CA2451">
      <w:pPr>
        <w:spacing w:before="240" w:after="240"/>
        <w:rPr>
          <w:b/>
          <w:bCs/>
        </w:rPr>
      </w:pPr>
    </w:p>
    <w:p w14:paraId="2D3DDF80" w14:textId="77777777" w:rsidR="00CA2451" w:rsidRDefault="002040B0">
      <w:pPr>
        <w:pStyle w:val="Heading2"/>
        <w:spacing w:before="240" w:after="240"/>
      </w:pPr>
      <w:bookmarkStart w:id="0" w:name="_rlwey9p0g0kc" w:colFirst="0" w:colLast="0"/>
      <w:bookmarkEnd w:id="0"/>
      <w:r>
        <w:lastRenderedPageBreak/>
        <w:t>Introduction</w:t>
      </w:r>
    </w:p>
    <w:p w14:paraId="39B4008D" w14:textId="77777777" w:rsidR="00CA2451" w:rsidRDefault="002040B0">
      <w:pPr>
        <w:spacing w:before="240" w:after="240"/>
        <w:rPr>
          <w:sz w:val="24"/>
          <w:szCs w:val="24"/>
        </w:rPr>
      </w:pPr>
      <w:r>
        <w:rPr>
          <w:sz w:val="24"/>
          <w:szCs w:val="24"/>
        </w:rPr>
        <w:t xml:space="preserve">At OSU UHDS restaurants, ingredients and recipes are thoroughly reviewed and labeled for all of the top nine FDA-identified allergens, along with gluten, pork, alcohol, and four common dietary practices: gluten-free, halal, vegetarian, and vegan. Each of the symbols, displayed below, can be viewed in person in UHDS restaurants on menus and printed recipe tags. The icons enable diners with dietary restrictions or practices to easily navigate food that is fit for their consumption. As an example, someone who is allergic to nuts, dairy, and is vegetarian would look for food </w:t>
      </w:r>
      <w:r>
        <w:rPr>
          <w:sz w:val="24"/>
          <w:szCs w:val="24"/>
          <w:u w:val="single"/>
        </w:rPr>
        <w:t>without</w:t>
      </w:r>
      <w:r>
        <w:rPr>
          <w:sz w:val="24"/>
          <w:szCs w:val="24"/>
        </w:rPr>
        <w:t xml:space="preserve"> the tree nut and dairy icons, and </w:t>
      </w:r>
      <w:r>
        <w:rPr>
          <w:sz w:val="24"/>
          <w:szCs w:val="24"/>
          <w:u w:val="single"/>
        </w:rPr>
        <w:t>with</w:t>
      </w:r>
      <w:r>
        <w:rPr>
          <w:sz w:val="24"/>
          <w:szCs w:val="24"/>
        </w:rPr>
        <w:t xml:space="preserve"> the vegetarian icon. Specific parameters of each allergen and dietary practice are defined below.</w:t>
      </w:r>
    </w:p>
    <w:p w14:paraId="4985ECE6" w14:textId="77777777" w:rsidR="00CA2451" w:rsidRDefault="002040B0">
      <w:pPr>
        <w:spacing w:before="240" w:after="240"/>
        <w:rPr>
          <w:sz w:val="24"/>
          <w:szCs w:val="24"/>
        </w:rPr>
      </w:pPr>
      <w:r>
        <w:rPr>
          <w:sz w:val="24"/>
          <w:szCs w:val="24"/>
        </w:rPr>
        <w:t>Most campus restaurants are designed to be “</w:t>
      </w:r>
      <w:r>
        <w:rPr>
          <w:b/>
          <w:bCs/>
          <w:sz w:val="24"/>
          <w:szCs w:val="24"/>
        </w:rPr>
        <w:t>build-your-own</w:t>
      </w:r>
      <w:r>
        <w:rPr>
          <w:sz w:val="24"/>
          <w:szCs w:val="24"/>
        </w:rPr>
        <w:t>” (BYO) or “</w:t>
      </w:r>
      <w:r>
        <w:rPr>
          <w:b/>
          <w:bCs/>
          <w:sz w:val="24"/>
          <w:szCs w:val="24"/>
        </w:rPr>
        <w:t>made-to-order</w:t>
      </w:r>
      <w:r>
        <w:rPr>
          <w:sz w:val="24"/>
          <w:szCs w:val="24"/>
        </w:rPr>
        <w:t>” (MTO) style. This approach enables diners to build their meals intentionally to include or exclude whichever ingredients they choose. This minimizes the amount of special preparation that is required to make accommodations for many dietary restrictions.</w:t>
      </w:r>
    </w:p>
    <w:p w14:paraId="31DE1EEE" w14:textId="77777777" w:rsidR="00CA2451" w:rsidRDefault="002040B0">
      <w:pPr>
        <w:spacing w:before="240" w:after="240"/>
        <w:rPr>
          <w:sz w:val="24"/>
          <w:szCs w:val="24"/>
        </w:rPr>
      </w:pPr>
      <w:r>
        <w:rPr>
          <w:sz w:val="24"/>
          <w:szCs w:val="24"/>
        </w:rPr>
        <w:t>Culinary recipe development is conscious to limit the top four anaphylactic allergies: tree nuts, peanuts, shellfish, and fish. In this way, there is less risk of these allergens being widely present in restaurant kitchens.</w:t>
      </w:r>
    </w:p>
    <w:p w14:paraId="31554F1A" w14:textId="77777777" w:rsidR="00CA2451" w:rsidRDefault="002040B0">
      <w:pPr>
        <w:spacing w:before="240" w:after="240"/>
        <w:rPr>
          <w:sz w:val="24"/>
          <w:szCs w:val="24"/>
        </w:rPr>
      </w:pPr>
      <w:r>
        <w:rPr>
          <w:sz w:val="24"/>
          <w:szCs w:val="24"/>
        </w:rPr>
        <w:t xml:space="preserve">Individuals with severe allergies or other dietary restrictions are instructed to read the UHDS food cross-contact </w:t>
      </w:r>
      <w:hyperlink w:anchor="_l4lihrc89i18">
        <w:r>
          <w:rPr>
            <w:color w:val="1155CC"/>
            <w:sz w:val="24"/>
            <w:szCs w:val="24"/>
            <w:u w:val="single"/>
          </w:rPr>
          <w:t>risk disclaimer</w:t>
        </w:r>
      </w:hyperlink>
      <w:r>
        <w:rPr>
          <w:sz w:val="24"/>
          <w:szCs w:val="24"/>
        </w:rPr>
        <w:t>, below.</w:t>
      </w:r>
    </w:p>
    <w:p w14:paraId="30C86C97" w14:textId="77777777" w:rsidR="00CA2451" w:rsidRDefault="002040B0">
      <w:pPr>
        <w:spacing w:before="240" w:after="240"/>
        <w:rPr>
          <w:sz w:val="24"/>
          <w:szCs w:val="24"/>
        </w:rPr>
      </w:pPr>
      <w:r>
        <w:rPr>
          <w:sz w:val="24"/>
          <w:szCs w:val="24"/>
        </w:rPr>
        <w:t xml:space="preserve">This guide is intended to provide comprehensive information to students with food allergies and/or other dietary restrictions and covers adequate information for most scenarios. If additional information is needed, individuals may email </w:t>
      </w:r>
      <w:hyperlink r:id="rId6">
        <w:r>
          <w:rPr>
            <w:color w:val="1155CC"/>
            <w:sz w:val="24"/>
            <w:szCs w:val="24"/>
            <w:u w:val="single"/>
          </w:rPr>
          <w:t>uhds.nutrition@oregonstate.edu</w:t>
        </w:r>
      </w:hyperlink>
      <w:r>
        <w:rPr>
          <w:sz w:val="24"/>
          <w:szCs w:val="24"/>
        </w:rPr>
        <w:t>. This document may be referenced in response if the information requested is presented here.</w:t>
      </w:r>
    </w:p>
    <w:p w14:paraId="13FAB606" w14:textId="77777777" w:rsidR="00CA2451" w:rsidRDefault="00CA2451">
      <w:pPr>
        <w:spacing w:before="240" w:after="240"/>
        <w:rPr>
          <w:sz w:val="24"/>
          <w:szCs w:val="24"/>
        </w:rPr>
      </w:pPr>
    </w:p>
    <w:p w14:paraId="1425BD81" w14:textId="77777777" w:rsidR="00CA2451" w:rsidRDefault="002040B0">
      <w:pPr>
        <w:pStyle w:val="Heading2"/>
        <w:spacing w:before="240" w:after="240"/>
      </w:pPr>
      <w:bookmarkStart w:id="1" w:name="_ntswiirsqb29" w:colFirst="0" w:colLast="0"/>
      <w:bookmarkEnd w:id="1"/>
      <w:r>
        <w:t>Information for Parents and Guardians</w:t>
      </w:r>
    </w:p>
    <w:p w14:paraId="06E3AF9F" w14:textId="77777777" w:rsidR="00CA2451" w:rsidRDefault="002040B0">
      <w:pPr>
        <w:spacing w:before="240" w:after="160"/>
        <w:rPr>
          <w:sz w:val="24"/>
          <w:szCs w:val="24"/>
        </w:rPr>
      </w:pPr>
      <w:r>
        <w:rPr>
          <w:sz w:val="24"/>
          <w:szCs w:val="24"/>
        </w:rPr>
        <w:t>Whether students are moving away from home for the first time or transferring to OSU, transitioning to a university is a major life change that is very exciting and can be overwhelming. Parents and families are of course expected and encouraged to be involved in helping their students make the leap as seamless as possible by supporting them through this transition. For students with food allergies or other dietary restrictions the move can sometimes be particularly daunting.</w:t>
      </w:r>
    </w:p>
    <w:p w14:paraId="67D50B40" w14:textId="77777777" w:rsidR="00CA2451" w:rsidRDefault="002040B0">
      <w:pPr>
        <w:spacing w:before="240" w:after="160"/>
        <w:rPr>
          <w:sz w:val="24"/>
          <w:szCs w:val="24"/>
        </w:rPr>
      </w:pPr>
      <w:r>
        <w:rPr>
          <w:sz w:val="24"/>
          <w:szCs w:val="24"/>
        </w:rPr>
        <w:lastRenderedPageBreak/>
        <w:t>UHDS is committed to providing a wide variety of nutritious and appealing food, complimented by comfort food in each location across campus. The highly trained culinary team of over a dozen chefs develops recipes and menus from quality, scratch ingredients and products that are executed by skilled cooks in full-service kitchens at each restaurant, and which are fully reviewed and labeled by the UHDS nutrition team. The quality and safety of food served by our team is the highest priority.</w:t>
      </w:r>
    </w:p>
    <w:p w14:paraId="731D81B2" w14:textId="77777777" w:rsidR="00CA2451" w:rsidRDefault="002040B0">
      <w:pPr>
        <w:spacing w:before="240" w:after="160"/>
        <w:rPr>
          <w:sz w:val="24"/>
          <w:szCs w:val="24"/>
        </w:rPr>
      </w:pPr>
      <w:r>
        <w:rPr>
          <w:sz w:val="24"/>
          <w:szCs w:val="24"/>
        </w:rPr>
        <w:t>Parents or guardians communicating on behalf of an OSU student with members of our Dining team are always met with utmost care and concern. In an effort to provide student-centered care, we prioritize direct and open communication with OSU students in order to foster development of their self-advocacy while also allowing us to best service their needs. We are also mindful of FERPA regulations, and can only provide general information unless we have a signed release from the student involved. Parents are highly encouraged to have their student reach out on their own behalf, to ensure the student's safety and success both at OSU Dining Services and beyond.</w:t>
      </w:r>
    </w:p>
    <w:p w14:paraId="4E0575A3" w14:textId="77777777" w:rsidR="00CA2451" w:rsidRDefault="00CA2451">
      <w:pPr>
        <w:spacing w:before="240" w:after="240"/>
      </w:pPr>
    </w:p>
    <w:p w14:paraId="427EBE50" w14:textId="77777777" w:rsidR="00CA2451" w:rsidRDefault="002040B0">
      <w:pPr>
        <w:pStyle w:val="Heading2"/>
        <w:spacing w:before="240" w:after="240"/>
      </w:pPr>
      <w:bookmarkStart w:id="2" w:name="_d6101rg2zn8a" w:colFirst="0" w:colLast="0"/>
      <w:bookmarkEnd w:id="2"/>
      <w:r>
        <w:t>Menu Webpage Nutrition Screening Tool</w:t>
      </w:r>
    </w:p>
    <w:p w14:paraId="1357E393" w14:textId="77777777" w:rsidR="00CA2451" w:rsidRDefault="002040B0">
      <w:pPr>
        <w:spacing w:before="240" w:after="240"/>
        <w:rPr>
          <w:sz w:val="24"/>
          <w:szCs w:val="24"/>
        </w:rPr>
      </w:pPr>
      <w:r>
        <w:rPr>
          <w:sz w:val="24"/>
          <w:szCs w:val="24"/>
        </w:rPr>
        <w:t>The</w:t>
      </w:r>
      <w:hyperlink r:id="rId7">
        <w:r>
          <w:rPr>
            <w:sz w:val="24"/>
            <w:szCs w:val="24"/>
          </w:rPr>
          <w:t xml:space="preserve"> </w:t>
        </w:r>
      </w:hyperlink>
      <w:hyperlink r:id="rId8">
        <w:r>
          <w:rPr>
            <w:color w:val="1155CC"/>
            <w:sz w:val="24"/>
            <w:szCs w:val="24"/>
            <w:u w:val="single"/>
          </w:rPr>
          <w:t>online menu webpage</w:t>
        </w:r>
      </w:hyperlink>
      <w:r>
        <w:rPr>
          <w:sz w:val="24"/>
          <w:szCs w:val="24"/>
        </w:rPr>
        <w:t xml:space="preserve"> with built-in nutrition calculator can be used to screen out select allergens or only include select dietary practices. This page is useful for previewing foods with specific dietary restrictions, and will also display specific nutrition information, including carbohydrates (</w:t>
      </w:r>
      <w:r>
        <w:rPr>
          <w:b/>
          <w:bCs/>
          <w:sz w:val="24"/>
          <w:szCs w:val="24"/>
        </w:rPr>
        <w:t>for</w:t>
      </w:r>
      <w:r>
        <w:rPr>
          <w:sz w:val="24"/>
          <w:szCs w:val="24"/>
        </w:rPr>
        <w:t xml:space="preserve"> </w:t>
      </w:r>
      <w:r>
        <w:rPr>
          <w:b/>
          <w:bCs/>
          <w:sz w:val="24"/>
          <w:szCs w:val="24"/>
        </w:rPr>
        <w:t>diabetic patrons</w:t>
      </w:r>
      <w:r>
        <w:rPr>
          <w:sz w:val="24"/>
          <w:szCs w:val="24"/>
        </w:rPr>
        <w:t>), sodium, and saturated fat, among others. Full ingredients lists can also be viewed on this page, which can be used to screen food allergies outside those that are labeled, such as foods in the nightshade family (tomatoes, eggplants, peppers, etc.), allium (onions, garlic, etc.), brassica (broccoli, cauliflower, cabbage, etc.), stone fruit (peaches, plums, apricots, cherries, etc.), pome fruit (apples, pears, etc.), among others.</w:t>
      </w:r>
    </w:p>
    <w:p w14:paraId="2DC23015" w14:textId="77777777" w:rsidR="00CA2451" w:rsidRDefault="002040B0">
      <w:pPr>
        <w:spacing w:before="240" w:after="240"/>
        <w:rPr>
          <w:sz w:val="24"/>
          <w:szCs w:val="24"/>
        </w:rPr>
      </w:pPr>
      <w:r>
        <w:rPr>
          <w:sz w:val="24"/>
          <w:szCs w:val="24"/>
        </w:rPr>
        <w:t xml:space="preserve">Patrons using the menu nutrition webpage are recommended to use a computer, iPad, or tablet. While the page is still viewable on a smartphone, unfortunately it has limited functionality. </w:t>
      </w:r>
    </w:p>
    <w:p w14:paraId="0DBB5984" w14:textId="77777777" w:rsidR="00CA2451" w:rsidRDefault="002040B0">
      <w:pPr>
        <w:spacing w:before="240" w:after="240"/>
        <w:rPr>
          <w:sz w:val="24"/>
          <w:szCs w:val="24"/>
        </w:rPr>
      </w:pPr>
      <w:r>
        <w:rPr>
          <w:sz w:val="24"/>
          <w:szCs w:val="24"/>
        </w:rPr>
        <w:t xml:space="preserve">The vast majority of dietary restrictions can be self-managed with the tools built into operations within the UHDS restaurants and on campus, as outlined in the sections below. </w:t>
      </w:r>
    </w:p>
    <w:p w14:paraId="6765E628" w14:textId="77777777" w:rsidR="00CA2451" w:rsidRDefault="00CA2451">
      <w:pPr>
        <w:spacing w:before="240" w:after="240"/>
        <w:rPr>
          <w:sz w:val="24"/>
          <w:szCs w:val="24"/>
        </w:rPr>
      </w:pPr>
    </w:p>
    <w:p w14:paraId="4B3B7821" w14:textId="77777777" w:rsidR="00CA2451" w:rsidRDefault="002040B0">
      <w:pPr>
        <w:pStyle w:val="Heading2"/>
        <w:spacing w:before="240" w:after="240"/>
      </w:pPr>
      <w:bookmarkStart w:id="3" w:name="_5751e0yjyldt" w:colFirst="0" w:colLast="0"/>
      <w:bookmarkEnd w:id="3"/>
      <w:r>
        <w:lastRenderedPageBreak/>
        <w:t>Special Diet Management and Accommodations</w:t>
      </w:r>
    </w:p>
    <w:p w14:paraId="437C5D89" w14:textId="77777777" w:rsidR="00CA2451" w:rsidRDefault="002040B0">
      <w:pPr>
        <w:spacing w:before="240" w:after="240"/>
        <w:rPr>
          <w:sz w:val="24"/>
          <w:szCs w:val="24"/>
        </w:rPr>
      </w:pPr>
      <w:r>
        <w:rPr>
          <w:sz w:val="24"/>
          <w:szCs w:val="24"/>
        </w:rPr>
        <w:t xml:space="preserve">UHDS employs a highly-skilled team of fifteen certified chefs and dozens of trained cooks campus-wide. Each culinary team member receives annual comprehensive training on the importance and practices of allergen-cross contact limitation following </w:t>
      </w:r>
      <w:hyperlink r:id="rId9">
        <w:r>
          <w:rPr>
            <w:color w:val="1155CC"/>
            <w:sz w:val="24"/>
            <w:szCs w:val="24"/>
            <w:u w:val="single"/>
          </w:rPr>
          <w:t>FARE</w:t>
        </w:r>
      </w:hyperlink>
      <w:r>
        <w:rPr>
          <w:sz w:val="24"/>
          <w:szCs w:val="24"/>
        </w:rPr>
        <w:t xml:space="preserve"> guidelines, along with how to recognize physical signs of an allergic reaction and what to do if such a scenario were to occur. These team members may be identified by their black chef coat uniforms and are always happy to answer any questions or provide assistance in the restaurants.</w:t>
      </w:r>
    </w:p>
    <w:p w14:paraId="151D188E" w14:textId="77777777" w:rsidR="00CA2451" w:rsidRDefault="002040B0">
      <w:pPr>
        <w:spacing w:before="240" w:after="240"/>
        <w:rPr>
          <w:sz w:val="24"/>
          <w:szCs w:val="24"/>
        </w:rPr>
      </w:pPr>
      <w:r>
        <w:rPr>
          <w:sz w:val="24"/>
          <w:szCs w:val="24"/>
        </w:rPr>
        <w:t>There are multiple sets of designated, purple allergen-safe cooking equipment in each dining center and the Memorial Union restaurants. Purple allergen-safe cooking equipment is never used with gluten-containing food or ingredients. This equipment may be used to prepare food individually when a recipe may need to be modified to omit an ingredient or if there is risk of allergen cross-contact in the space. Many of our restaurant kitchens already have designated gluten-free stations that do not require the use of purple cooking equipment.</w:t>
      </w:r>
    </w:p>
    <w:p w14:paraId="1843B384" w14:textId="77777777" w:rsidR="00CA2451" w:rsidRDefault="002040B0">
      <w:pPr>
        <w:spacing w:before="240" w:after="240"/>
        <w:rPr>
          <w:sz w:val="24"/>
          <w:szCs w:val="24"/>
        </w:rPr>
      </w:pPr>
      <w:r>
        <w:rPr>
          <w:sz w:val="24"/>
          <w:szCs w:val="24"/>
        </w:rPr>
        <w:t xml:space="preserve">Students are always encouraged to advocate for their needs if they have specific and high-risk dietary restrictions. Our operations are only adequate to a certain degree without mutual communication from our patrons. As many students quickly learn, they will become comfortable with the dining spaces and get to know individual team members working in the restaurants, and they will develop familiarity with the food and operations so that dining on campus becomes routine. In the beginning, however, they may need to speak up more on their own behalf and let team members know if they have a high-risk allergy or their food cannot have cross-contact with gluten. Whenever a team member asks for clarification about whether the need is due to an allergy or cross-contact sensitivity, this is intended for the team to know when food needs to be prepared separately on designated equipment. </w:t>
      </w:r>
    </w:p>
    <w:p w14:paraId="784A7DB5" w14:textId="77777777" w:rsidR="00CA2451" w:rsidRDefault="002040B0">
      <w:pPr>
        <w:spacing w:before="240" w:after="240"/>
        <w:rPr>
          <w:sz w:val="24"/>
          <w:szCs w:val="24"/>
        </w:rPr>
      </w:pPr>
      <w:r>
        <w:rPr>
          <w:sz w:val="24"/>
          <w:szCs w:val="24"/>
        </w:rPr>
        <w:t>The integrated and comprehensive approach to special dietary management and accommodation is deliberate in UHDS. Although there is not one designated allergen-free restaurant at OSU, our philosophy is that all dining locations should be equally safe and accessible across campus as opposed to cordoned in a single location. This is why management of recipe screening, labeling, and cross-contact limitation are so diligently enforced in all dining centers and MU restaurant locations.</w:t>
      </w:r>
    </w:p>
    <w:p w14:paraId="5CC56FC7" w14:textId="77777777" w:rsidR="00CA2451" w:rsidRDefault="002040B0">
      <w:pPr>
        <w:spacing w:before="240" w:after="240"/>
        <w:rPr>
          <w:sz w:val="24"/>
          <w:szCs w:val="24"/>
        </w:rPr>
      </w:pPr>
      <w:r>
        <w:rPr>
          <w:sz w:val="24"/>
          <w:szCs w:val="24"/>
        </w:rPr>
        <w:t>Each term during the academic year</w:t>
      </w:r>
      <w:hyperlink r:id="rId10">
        <w:r>
          <w:rPr>
            <w:sz w:val="24"/>
            <w:szCs w:val="24"/>
          </w:rPr>
          <w:t xml:space="preserve"> </w:t>
        </w:r>
      </w:hyperlink>
      <w:hyperlink r:id="rId11">
        <w:r>
          <w:rPr>
            <w:color w:val="1155CC"/>
            <w:sz w:val="24"/>
            <w:szCs w:val="24"/>
            <w:u w:val="single"/>
          </w:rPr>
          <w:t>Dietary Practice Menu Guides</w:t>
        </w:r>
      </w:hyperlink>
      <w:r>
        <w:rPr>
          <w:sz w:val="24"/>
          <w:szCs w:val="24"/>
        </w:rPr>
        <w:t xml:space="preserve"> are published with the food options available across campus for each of the four dietary practices labeled at OSU – gluten-free friendly, halal, vegetarian, and vegan.</w:t>
      </w:r>
    </w:p>
    <w:p w14:paraId="1D5E1C35" w14:textId="77777777" w:rsidR="00CA2451" w:rsidRDefault="002040B0">
      <w:pPr>
        <w:spacing w:before="240" w:after="240"/>
        <w:rPr>
          <w:sz w:val="24"/>
          <w:szCs w:val="24"/>
        </w:rPr>
      </w:pPr>
      <w:r>
        <w:rPr>
          <w:sz w:val="24"/>
          <w:szCs w:val="24"/>
        </w:rPr>
        <w:lastRenderedPageBreak/>
        <w:t xml:space="preserve">Students with anaphylactic allergies or severe cross-contact sensitivity are instructed to read our </w:t>
      </w:r>
      <w:hyperlink w:anchor="_l4lihrc89i18">
        <w:r>
          <w:rPr>
            <w:color w:val="1155CC"/>
            <w:sz w:val="24"/>
            <w:szCs w:val="24"/>
            <w:u w:val="single"/>
          </w:rPr>
          <w:t>disclaimer statement</w:t>
        </w:r>
      </w:hyperlink>
      <w:r>
        <w:rPr>
          <w:sz w:val="24"/>
          <w:szCs w:val="24"/>
        </w:rPr>
        <w:t>.</w:t>
      </w:r>
    </w:p>
    <w:p w14:paraId="3E6CDAD8" w14:textId="77777777" w:rsidR="00CA2451" w:rsidRDefault="00CA2451">
      <w:pPr>
        <w:spacing w:before="240" w:after="240"/>
        <w:rPr>
          <w:sz w:val="24"/>
          <w:szCs w:val="24"/>
        </w:rPr>
      </w:pPr>
    </w:p>
    <w:p w14:paraId="71147625" w14:textId="77777777" w:rsidR="00CA2451" w:rsidRDefault="002040B0">
      <w:pPr>
        <w:pStyle w:val="Heading3"/>
        <w:spacing w:before="240" w:after="240"/>
      </w:pPr>
      <w:bookmarkStart w:id="4" w:name="_9g3lqyd6nz7b" w:colFirst="0" w:colLast="0"/>
      <w:bookmarkEnd w:id="4"/>
      <w:r>
        <w:t>Cooking in Residence Halls</w:t>
      </w:r>
    </w:p>
    <w:p w14:paraId="390555F0" w14:textId="77777777" w:rsidR="00CA2451" w:rsidRDefault="002040B0">
      <w:pPr>
        <w:spacing w:before="240" w:after="240"/>
        <w:rPr>
          <w:sz w:val="24"/>
          <w:szCs w:val="24"/>
        </w:rPr>
      </w:pPr>
      <w:r>
        <w:rPr>
          <w:sz w:val="24"/>
          <w:szCs w:val="24"/>
        </w:rPr>
        <w:t>Any and all students are encouraged to use the kitchens in</w:t>
      </w:r>
      <w:hyperlink r:id="rId12">
        <w:r>
          <w:rPr>
            <w:sz w:val="24"/>
            <w:szCs w:val="24"/>
          </w:rPr>
          <w:t xml:space="preserve"> </w:t>
        </w:r>
      </w:hyperlink>
      <w:hyperlink r:id="rId13">
        <w:r>
          <w:rPr>
            <w:color w:val="1155CC"/>
            <w:sz w:val="24"/>
            <w:szCs w:val="24"/>
            <w:u w:val="single"/>
          </w:rPr>
          <w:t>residence halls</w:t>
        </w:r>
      </w:hyperlink>
      <w:r>
        <w:rPr>
          <w:sz w:val="24"/>
          <w:szCs w:val="24"/>
        </w:rPr>
        <w:t xml:space="preserve"> for individual meal preparation. Some students, particularly those with significant dietary limitations, may choose to do this more often than others. Each residence hall has at least one full, shared kitchen with a sink, electric stove and oven, refrigerator and freezer. </w:t>
      </w:r>
      <w:r>
        <w:rPr>
          <w:sz w:val="24"/>
          <w:szCs w:val="24"/>
          <w:u w:val="single"/>
        </w:rPr>
        <w:t>All kitchens are considered safe for use by students with severe food allergies or other dietary restrictions.</w:t>
      </w:r>
      <w:r>
        <w:rPr>
          <w:sz w:val="24"/>
          <w:szCs w:val="24"/>
        </w:rPr>
        <w:t xml:space="preserve"> Students who would like to request special accommodations for kitchen access must connect with Disability Access Services – please see </w:t>
      </w:r>
      <w:hyperlink w:anchor="_h5vmtj64rl78">
        <w:r>
          <w:rPr>
            <w:color w:val="1155CC"/>
            <w:sz w:val="24"/>
            <w:szCs w:val="24"/>
            <w:u w:val="single"/>
          </w:rPr>
          <w:t>section below</w:t>
        </w:r>
      </w:hyperlink>
      <w:r>
        <w:rPr>
          <w:sz w:val="24"/>
          <w:szCs w:val="24"/>
        </w:rPr>
        <w:t>.</w:t>
      </w:r>
    </w:p>
    <w:p w14:paraId="1CBEB2A1" w14:textId="77777777" w:rsidR="00CA2451" w:rsidRDefault="002040B0">
      <w:pPr>
        <w:spacing w:before="240" w:after="240"/>
        <w:rPr>
          <w:sz w:val="24"/>
          <w:szCs w:val="24"/>
        </w:rPr>
      </w:pPr>
      <w:r>
        <w:rPr>
          <w:sz w:val="24"/>
          <w:szCs w:val="24"/>
        </w:rPr>
        <w:t>*Please note: many of the stove-tops are transitioning to induction-type burners. If cooking equipment is purchased in advance, please be mindful that it may need to be compatible with induction appliances in order to function properly. Cascadia Market on campus also has full sets of induction-compatible cooking equipment available for purchase.</w:t>
      </w:r>
    </w:p>
    <w:p w14:paraId="5AD7872E" w14:textId="77777777" w:rsidR="00CA2451" w:rsidRDefault="002040B0">
      <w:pPr>
        <w:spacing w:before="240" w:after="240"/>
        <w:rPr>
          <w:sz w:val="24"/>
          <w:szCs w:val="24"/>
        </w:rPr>
      </w:pPr>
      <w:r>
        <w:rPr>
          <w:sz w:val="24"/>
          <w:szCs w:val="24"/>
        </w:rPr>
        <w:t>Although some residence halls have cooking equipment available for rental, individuals with extreme food sensitivities are advised to keep and store their own basic cooking necessities in a container in their room. Few residence halls have lockers in the kitchen on a first-come, first-serve basis, and residents should work with the resident director of the hall in which they are placed for coordination.</w:t>
      </w:r>
    </w:p>
    <w:p w14:paraId="1969CE7F" w14:textId="77777777" w:rsidR="00CA2451" w:rsidRDefault="002040B0">
      <w:pPr>
        <w:spacing w:before="240" w:after="240"/>
        <w:rPr>
          <w:sz w:val="24"/>
          <w:szCs w:val="24"/>
        </w:rPr>
      </w:pPr>
      <w:r>
        <w:rPr>
          <w:sz w:val="24"/>
          <w:szCs w:val="24"/>
        </w:rPr>
        <w:t xml:space="preserve">Residents are allowed to keep one of the following in their room: a minifridge, </w:t>
      </w:r>
      <w:r>
        <w:rPr>
          <w:sz w:val="24"/>
          <w:szCs w:val="24"/>
          <w:u w:val="single"/>
        </w:rPr>
        <w:t>or</w:t>
      </w:r>
      <w:r>
        <w:rPr>
          <w:sz w:val="24"/>
          <w:szCs w:val="24"/>
        </w:rPr>
        <w:t xml:space="preserve"> a micro-fridge (mini microwave attached to a minifridge). Electrical cooking or heating devices are </w:t>
      </w:r>
      <w:r>
        <w:rPr>
          <w:sz w:val="24"/>
          <w:szCs w:val="24"/>
          <w:u w:val="single"/>
        </w:rPr>
        <w:t>not allowed</w:t>
      </w:r>
      <w:r>
        <w:rPr>
          <w:sz w:val="24"/>
          <w:szCs w:val="24"/>
        </w:rPr>
        <w:t xml:space="preserve"> to be used in individual rooms. Certain cooking equipment, such as rice cookers or toasters </w:t>
      </w:r>
      <w:r>
        <w:rPr>
          <w:sz w:val="24"/>
          <w:szCs w:val="24"/>
          <w:u w:val="single"/>
        </w:rPr>
        <w:t>may</w:t>
      </w:r>
      <w:r>
        <w:rPr>
          <w:sz w:val="24"/>
          <w:szCs w:val="24"/>
        </w:rPr>
        <w:t xml:space="preserve"> be able to be stored in rooms and used in public spaces. Hot plates are not allowed under any circumstances. Students must review the</w:t>
      </w:r>
      <w:hyperlink r:id="rId14">
        <w:r>
          <w:rPr>
            <w:sz w:val="24"/>
            <w:szCs w:val="24"/>
          </w:rPr>
          <w:t xml:space="preserve"> </w:t>
        </w:r>
      </w:hyperlink>
      <w:hyperlink r:id="rId15">
        <w:r>
          <w:rPr>
            <w:color w:val="1155CC"/>
            <w:sz w:val="24"/>
            <w:szCs w:val="24"/>
            <w:u w:val="single"/>
          </w:rPr>
          <w:t>UHDS Policy Guide</w:t>
        </w:r>
      </w:hyperlink>
      <w:r>
        <w:rPr>
          <w:sz w:val="24"/>
          <w:szCs w:val="24"/>
        </w:rPr>
        <w:t xml:space="preserve"> and work with their resident director to determine the allowances and restrictions of different cooking appliances.</w:t>
      </w:r>
    </w:p>
    <w:p w14:paraId="0B23AF5D" w14:textId="77777777" w:rsidR="00CA2451" w:rsidRDefault="00CA2451">
      <w:pPr>
        <w:spacing w:before="240" w:after="240"/>
        <w:rPr>
          <w:sz w:val="24"/>
          <w:szCs w:val="24"/>
        </w:rPr>
      </w:pPr>
    </w:p>
    <w:p w14:paraId="730B325D" w14:textId="77777777" w:rsidR="00CA2451" w:rsidRDefault="002040B0">
      <w:pPr>
        <w:pStyle w:val="Heading3"/>
        <w:spacing w:before="240" w:after="240"/>
      </w:pPr>
      <w:bookmarkStart w:id="5" w:name="_isew1ajilb52" w:colFirst="0" w:colLast="0"/>
      <w:bookmarkEnd w:id="5"/>
      <w:r>
        <w:t>Cascadia Market</w:t>
      </w:r>
    </w:p>
    <w:p w14:paraId="0F9800BD" w14:textId="77777777" w:rsidR="00CA2451" w:rsidRDefault="00000000">
      <w:pPr>
        <w:spacing w:before="240" w:after="240" w:line="240" w:lineRule="auto"/>
        <w:rPr>
          <w:sz w:val="24"/>
          <w:szCs w:val="24"/>
        </w:rPr>
      </w:pPr>
      <w:hyperlink r:id="rId16">
        <w:r w:rsidR="002040B0">
          <w:rPr>
            <w:b/>
            <w:bCs/>
            <w:color w:val="1155CC"/>
            <w:sz w:val="24"/>
            <w:szCs w:val="24"/>
            <w:u w:val="single"/>
          </w:rPr>
          <w:t>Cascadia Market</w:t>
        </w:r>
      </w:hyperlink>
      <w:r w:rsidR="002040B0">
        <w:rPr>
          <w:sz w:val="24"/>
          <w:szCs w:val="24"/>
        </w:rPr>
        <w:t xml:space="preserve"> is the on-campus grocery market, which carries a considerable variety of produce, meats, grains and starch products, eggs, dairy, along with many other types of ingredients and foods. Other products that are available include sets of cooking equipment, personal hygiene products, convenience foods, and some common </w:t>
      </w:r>
      <w:r w:rsidR="002040B0">
        <w:rPr>
          <w:sz w:val="24"/>
          <w:szCs w:val="24"/>
        </w:rPr>
        <w:lastRenderedPageBreak/>
        <w:t xml:space="preserve">over-the-counter products. Students are encouraged to use their </w:t>
      </w:r>
      <w:hyperlink r:id="rId17">
        <w:r w:rsidR="002040B0">
          <w:rPr>
            <w:color w:val="1155CC"/>
            <w:sz w:val="24"/>
            <w:szCs w:val="24"/>
            <w:u w:val="single"/>
          </w:rPr>
          <w:t>meal plan</w:t>
        </w:r>
      </w:hyperlink>
      <w:r w:rsidR="002040B0">
        <w:rPr>
          <w:sz w:val="24"/>
          <w:szCs w:val="24"/>
        </w:rPr>
        <w:t xml:space="preserve"> for the purchase of goods from Cascadia Market, especially if they will be doing much of their own cooking. Groceries can also be purchased and delivered with the </w:t>
      </w:r>
      <w:hyperlink r:id="rId18">
        <w:r w:rsidR="002040B0">
          <w:rPr>
            <w:color w:val="1155CC"/>
            <w:sz w:val="24"/>
            <w:szCs w:val="24"/>
            <w:u w:val="single"/>
          </w:rPr>
          <w:t>Starship robot app</w:t>
        </w:r>
      </w:hyperlink>
      <w:r w:rsidR="002040B0">
        <w:rPr>
          <w:sz w:val="24"/>
          <w:szCs w:val="24"/>
        </w:rPr>
        <w:t xml:space="preserve"> for convenience.</w:t>
      </w:r>
    </w:p>
    <w:p w14:paraId="55611C50" w14:textId="77777777" w:rsidR="00CA2451" w:rsidRDefault="002040B0">
      <w:pPr>
        <w:spacing w:before="240" w:after="240"/>
        <w:rPr>
          <w:sz w:val="24"/>
          <w:szCs w:val="24"/>
        </w:rPr>
      </w:pPr>
      <w:r>
        <w:rPr>
          <w:sz w:val="24"/>
          <w:szCs w:val="24"/>
        </w:rPr>
        <w:t>Cascadia Market also accepts</w:t>
      </w:r>
      <w:hyperlink r:id="rId19">
        <w:r>
          <w:rPr>
            <w:sz w:val="24"/>
            <w:szCs w:val="24"/>
          </w:rPr>
          <w:t xml:space="preserve"> </w:t>
        </w:r>
      </w:hyperlink>
      <w:hyperlink r:id="rId20">
        <w:r>
          <w:rPr>
            <w:color w:val="1155CC"/>
            <w:sz w:val="24"/>
            <w:szCs w:val="24"/>
            <w:u w:val="single"/>
          </w:rPr>
          <w:t>SNAP-EBT</w:t>
        </w:r>
      </w:hyperlink>
      <w:r>
        <w:rPr>
          <w:sz w:val="24"/>
          <w:szCs w:val="24"/>
        </w:rPr>
        <w:t xml:space="preserve">. Students who would like to apply for SNAP can receive assistance through the </w:t>
      </w:r>
      <w:hyperlink r:id="rId21">
        <w:r>
          <w:rPr>
            <w:color w:val="1155CC"/>
            <w:sz w:val="24"/>
            <w:szCs w:val="24"/>
            <w:u w:val="single"/>
          </w:rPr>
          <w:t>Basic Needs Center</w:t>
        </w:r>
      </w:hyperlink>
      <w:r>
        <w:rPr>
          <w:sz w:val="24"/>
          <w:szCs w:val="24"/>
        </w:rPr>
        <w:t>.</w:t>
      </w:r>
    </w:p>
    <w:p w14:paraId="0988181C" w14:textId="77777777" w:rsidR="00CA2451" w:rsidRDefault="002040B0">
      <w:pPr>
        <w:spacing w:before="240" w:after="240"/>
        <w:rPr>
          <w:sz w:val="24"/>
          <w:szCs w:val="24"/>
        </w:rPr>
      </w:pPr>
      <w:r>
        <w:rPr>
          <w:sz w:val="24"/>
          <w:szCs w:val="24"/>
        </w:rPr>
        <w:t>For students with dietary restrictions or practices, if there are specific products that must regularly be purchased from another supplier that are not currently available at Cascadia Market, they are encouraged to ask a manager or supervisor about the possibility of bringing these products in store for them. This has been done numerous times in the past and is something that will gladly be researched.</w:t>
      </w:r>
    </w:p>
    <w:p w14:paraId="4511A4FE" w14:textId="77777777" w:rsidR="00CA2451" w:rsidRDefault="002040B0">
      <w:pPr>
        <w:spacing w:before="240" w:after="240"/>
        <w:rPr>
          <w:sz w:val="24"/>
          <w:szCs w:val="24"/>
        </w:rPr>
      </w:pPr>
      <w:r>
        <w:rPr>
          <w:sz w:val="24"/>
          <w:szCs w:val="24"/>
        </w:rPr>
        <w:t>A list of gluten-free grocery products available at Cascadia Market is updated and published near the beginning of each year.</w:t>
      </w:r>
    </w:p>
    <w:p w14:paraId="50F36E4D" w14:textId="77777777" w:rsidR="00CA2451" w:rsidRDefault="002040B0">
      <w:pPr>
        <w:spacing w:before="240" w:after="240"/>
        <w:rPr>
          <w:sz w:val="24"/>
          <w:szCs w:val="24"/>
        </w:rPr>
      </w:pPr>
      <w:r>
        <w:rPr>
          <w:sz w:val="24"/>
          <w:szCs w:val="24"/>
        </w:rPr>
        <w:t>The Basic Needs Center near the east side of campus regularly provides community cooking classes, along with access to a food pantry, and other basic necessities.</w:t>
      </w:r>
    </w:p>
    <w:p w14:paraId="25DB6B7F" w14:textId="77777777" w:rsidR="00CA2451" w:rsidRDefault="00CA2451">
      <w:pPr>
        <w:spacing w:before="240" w:after="240"/>
      </w:pPr>
    </w:p>
    <w:p w14:paraId="6DB7B3B6" w14:textId="77777777" w:rsidR="00CA2451" w:rsidRDefault="002040B0">
      <w:pPr>
        <w:pStyle w:val="Heading3"/>
        <w:spacing w:before="240" w:after="240"/>
      </w:pPr>
      <w:bookmarkStart w:id="6" w:name="_a6oww27rmwmi" w:colFirst="0" w:colLast="0"/>
      <w:bookmarkEnd w:id="6"/>
      <w:r>
        <w:t>Food Pick-up and Delivery with Starship App</w:t>
      </w:r>
    </w:p>
    <w:p w14:paraId="3B763F62" w14:textId="77777777" w:rsidR="00CA2451" w:rsidRDefault="002040B0">
      <w:pPr>
        <w:spacing w:before="240" w:after="240"/>
        <w:rPr>
          <w:sz w:val="24"/>
          <w:szCs w:val="24"/>
        </w:rPr>
      </w:pPr>
      <w:r>
        <w:rPr>
          <w:sz w:val="24"/>
          <w:szCs w:val="24"/>
        </w:rPr>
        <w:t>Students may take advantage of food delivery and/or pre-paid food pickup (which is free of charge) with the</w:t>
      </w:r>
      <w:hyperlink r:id="rId22">
        <w:r>
          <w:rPr>
            <w:sz w:val="24"/>
            <w:szCs w:val="24"/>
          </w:rPr>
          <w:t xml:space="preserve"> </w:t>
        </w:r>
      </w:hyperlink>
      <w:hyperlink r:id="rId23">
        <w:r>
          <w:rPr>
            <w:color w:val="1155CC"/>
            <w:sz w:val="24"/>
            <w:szCs w:val="24"/>
            <w:u w:val="single"/>
          </w:rPr>
          <w:t>Starship robot app</w:t>
        </w:r>
      </w:hyperlink>
      <w:r>
        <w:rPr>
          <w:sz w:val="24"/>
          <w:szCs w:val="24"/>
        </w:rPr>
        <w:t xml:space="preserve">, including those with significant dietary restrictions and/or food allergies. In order to inform the dining team of special dietary needs when placing an order, diners are instructed to clearly state their food limitations in a short message in the “Notes” section at the end of their order </w:t>
      </w:r>
      <w:r>
        <w:rPr>
          <w:i/>
          <w:iCs/>
          <w:sz w:val="24"/>
          <w:szCs w:val="24"/>
          <w:u w:val="single"/>
        </w:rPr>
        <w:t>in all capitalized letters</w:t>
      </w:r>
      <w:r>
        <w:rPr>
          <w:sz w:val="24"/>
          <w:szCs w:val="24"/>
        </w:rPr>
        <w:t xml:space="preserve">. Examples may include ”SEVERE EGG ALLERGY,” “SEVERE GLUTEN ALLERGY,” or “SEVERE PEANUT ALLERGY.” </w:t>
      </w:r>
    </w:p>
    <w:p w14:paraId="426A6C97" w14:textId="77777777" w:rsidR="00CA2451" w:rsidRDefault="002040B0">
      <w:pPr>
        <w:spacing w:before="240" w:after="240"/>
        <w:rPr>
          <w:b/>
          <w:bCs/>
        </w:rPr>
      </w:pPr>
      <w:r>
        <w:rPr>
          <w:b/>
          <w:bCs/>
        </w:rPr>
        <w:t xml:space="preserve"> </w:t>
      </w:r>
    </w:p>
    <w:p w14:paraId="07D4BC78" w14:textId="77777777" w:rsidR="00CA2451" w:rsidRDefault="002040B0">
      <w:pPr>
        <w:pStyle w:val="Heading2"/>
        <w:spacing w:before="240" w:after="240"/>
      </w:pPr>
      <w:bookmarkStart w:id="7" w:name="_h5vmtj64rl78" w:colFirst="0" w:colLast="0"/>
      <w:bookmarkEnd w:id="7"/>
      <w:r>
        <w:t>Additional Support Tools and Accommodations</w:t>
      </w:r>
    </w:p>
    <w:p w14:paraId="074EF262" w14:textId="77777777" w:rsidR="00CA2451" w:rsidRDefault="002040B0">
      <w:pPr>
        <w:spacing w:before="240" w:after="240"/>
        <w:rPr>
          <w:sz w:val="24"/>
          <w:szCs w:val="24"/>
        </w:rPr>
      </w:pPr>
      <w:r>
        <w:rPr>
          <w:sz w:val="24"/>
          <w:szCs w:val="24"/>
        </w:rPr>
        <w:t>During years with full residential capacity, there are between 850-1,000+ students living on campus with some form or dietary restriction, need, or practice. The majority of these individuals will be able to successfully self-manage their dietary needs with the tools that are readily available in UHDS operations.</w:t>
      </w:r>
    </w:p>
    <w:p w14:paraId="7AB54236" w14:textId="77777777" w:rsidR="00CA2451" w:rsidRDefault="002040B0">
      <w:pPr>
        <w:spacing w:before="240" w:after="240"/>
        <w:rPr>
          <w:sz w:val="24"/>
          <w:szCs w:val="24"/>
        </w:rPr>
      </w:pPr>
      <w:r>
        <w:rPr>
          <w:sz w:val="24"/>
          <w:szCs w:val="24"/>
        </w:rPr>
        <w:t xml:space="preserve">There are, however, some scenarios where dietary needs may require some additional tools or accommodations. For some accommodations students will be required to first </w:t>
      </w:r>
      <w:r>
        <w:rPr>
          <w:sz w:val="24"/>
          <w:szCs w:val="24"/>
        </w:rPr>
        <w:lastRenderedPageBreak/>
        <w:t>connect with</w:t>
      </w:r>
      <w:hyperlink r:id="rId24">
        <w:r>
          <w:rPr>
            <w:sz w:val="24"/>
            <w:szCs w:val="24"/>
          </w:rPr>
          <w:t xml:space="preserve"> </w:t>
        </w:r>
      </w:hyperlink>
      <w:hyperlink r:id="rId25">
        <w:r>
          <w:rPr>
            <w:color w:val="1155CC"/>
            <w:sz w:val="24"/>
            <w:szCs w:val="24"/>
            <w:u w:val="single"/>
          </w:rPr>
          <w:t>Disability Access Services (DAS)</w:t>
        </w:r>
      </w:hyperlink>
      <w:r>
        <w:rPr>
          <w:sz w:val="24"/>
          <w:szCs w:val="24"/>
        </w:rPr>
        <w:t>, which will require medical documentation of individual dietary restrictions. Food allergies and other dietary restrictions are encompassed under the Americans with Disabilities Act Amendments Act and UHDS works diligently to provide reasonable accommodations on a case-by-case basis. Students who may need medical assistance in coordination with communication through DAS can connect directly with</w:t>
      </w:r>
      <w:hyperlink r:id="rId26">
        <w:r>
          <w:rPr>
            <w:sz w:val="24"/>
            <w:szCs w:val="24"/>
          </w:rPr>
          <w:t xml:space="preserve"> </w:t>
        </w:r>
      </w:hyperlink>
      <w:hyperlink r:id="rId27">
        <w:r>
          <w:rPr>
            <w:color w:val="1155CC"/>
            <w:sz w:val="24"/>
            <w:szCs w:val="24"/>
            <w:u w:val="single"/>
          </w:rPr>
          <w:t>Student Health Services</w:t>
        </w:r>
      </w:hyperlink>
      <w:r>
        <w:rPr>
          <w:sz w:val="24"/>
          <w:szCs w:val="24"/>
        </w:rPr>
        <w:t xml:space="preserve"> for allergy testing referrals.</w:t>
      </w:r>
    </w:p>
    <w:p w14:paraId="16B9FCB1" w14:textId="77777777" w:rsidR="00CA2451" w:rsidRDefault="002040B0">
      <w:pPr>
        <w:spacing w:before="240" w:after="240"/>
        <w:rPr>
          <w:sz w:val="24"/>
          <w:szCs w:val="24"/>
        </w:rPr>
      </w:pPr>
      <w:r>
        <w:rPr>
          <w:sz w:val="24"/>
          <w:szCs w:val="24"/>
        </w:rPr>
        <w:t>Requests that do and do not require connection with DAS are separated into the two sections below. Support tools that do not require assistance through DAS may be made directly by OSU residents who complete and submit a Dietary Needs Request form through their</w:t>
      </w:r>
      <w:hyperlink r:id="rId28">
        <w:r>
          <w:rPr>
            <w:color w:val="1155CC"/>
            <w:sz w:val="24"/>
            <w:szCs w:val="24"/>
            <w:u w:val="single"/>
          </w:rPr>
          <w:t xml:space="preserve"> Resident Portal</w:t>
        </w:r>
      </w:hyperlink>
      <w:r>
        <w:rPr>
          <w:sz w:val="24"/>
          <w:szCs w:val="24"/>
        </w:rPr>
        <w:t>.</w:t>
      </w:r>
    </w:p>
    <w:p w14:paraId="781FDB81" w14:textId="77777777" w:rsidR="00CA2451" w:rsidRDefault="00CA2451">
      <w:pPr>
        <w:spacing w:before="240" w:after="240"/>
        <w:rPr>
          <w:sz w:val="24"/>
          <w:szCs w:val="24"/>
        </w:rPr>
      </w:pPr>
    </w:p>
    <w:p w14:paraId="7934CF75" w14:textId="77777777" w:rsidR="00CA2451" w:rsidRDefault="002040B0">
      <w:pPr>
        <w:pStyle w:val="Heading4"/>
        <w:spacing w:before="240" w:after="240"/>
        <w:rPr>
          <w:i/>
          <w:iCs/>
          <w:color w:val="000000"/>
        </w:rPr>
      </w:pPr>
      <w:bookmarkStart w:id="8" w:name="_6gzvat1bghos" w:colFirst="0" w:colLast="0"/>
      <w:bookmarkEnd w:id="8"/>
      <w:r>
        <w:rPr>
          <w:i/>
          <w:iCs/>
          <w:color w:val="000000"/>
        </w:rPr>
        <w:t>Support tools that can be requested without connection through DAS</w:t>
      </w:r>
    </w:p>
    <w:p w14:paraId="7A07B569" w14:textId="77777777" w:rsidR="00CA2451" w:rsidRDefault="002040B0">
      <w:pPr>
        <w:spacing w:before="240" w:after="240"/>
        <w:rPr>
          <w:i/>
          <w:iCs/>
          <w:sz w:val="24"/>
          <w:szCs w:val="24"/>
        </w:rPr>
      </w:pPr>
      <w:r>
        <w:rPr>
          <w:sz w:val="24"/>
          <w:szCs w:val="24"/>
          <w:u w:val="single"/>
        </w:rPr>
        <w:t>Dietary Needs Card</w:t>
      </w:r>
      <w:r>
        <w:rPr>
          <w:sz w:val="24"/>
          <w:szCs w:val="24"/>
        </w:rPr>
        <w:t xml:space="preserve"> – a personalized, laminated card that outlines the student’s dietary restrictions and any special food preparations that may be required. Dietary Needs Cards are intended as a tool for communication. Navigating large and busy dining centers for the first time can be overwhelming and sometimes students experience anxiety vocalizing their needs. Cards can be presented to team members when placing a food order to aid both the student and dining team with clarification of the individual dietary restrictions. </w:t>
      </w:r>
      <w:r>
        <w:rPr>
          <w:i/>
          <w:iCs/>
          <w:sz w:val="24"/>
          <w:szCs w:val="24"/>
        </w:rPr>
        <w:t xml:space="preserve">This tool is generally only given to students who have anaphylactic allergies or are cross-contact sensitive to any </w:t>
      </w:r>
      <w:r>
        <w:rPr>
          <w:i/>
          <w:iCs/>
          <w:sz w:val="24"/>
          <w:szCs w:val="24"/>
          <w:u w:val="single"/>
        </w:rPr>
        <w:t>common</w:t>
      </w:r>
      <w:r>
        <w:rPr>
          <w:i/>
          <w:iCs/>
          <w:sz w:val="24"/>
          <w:szCs w:val="24"/>
        </w:rPr>
        <w:t xml:space="preserve"> food ingredients.</w:t>
      </w:r>
    </w:p>
    <w:p w14:paraId="14C76B5E" w14:textId="77777777" w:rsidR="00CA2451" w:rsidRDefault="002040B0">
      <w:pPr>
        <w:spacing w:before="240" w:after="240"/>
        <w:rPr>
          <w:sz w:val="24"/>
          <w:szCs w:val="24"/>
        </w:rPr>
      </w:pPr>
      <w:r>
        <w:rPr>
          <w:sz w:val="24"/>
          <w:szCs w:val="24"/>
          <w:u w:val="single"/>
        </w:rPr>
        <w:t>Dining center tours or orientations</w:t>
      </w:r>
      <w:r>
        <w:rPr>
          <w:sz w:val="24"/>
          <w:szCs w:val="24"/>
        </w:rPr>
        <w:t xml:space="preserve"> – group tours of each of the three dining centers are given at the beginning of the academic year around the same time as move-in. Anyone with a dietary restriction is welcome to join, and some orientations may be geared toward a specific dietary restriction such as celiac disease and gluten intolerance. Introduction to labeling, certain restaurants or stations geared toward special food preparation, and introduction to the culinary and management team are all included. Group tours also provide students with an opportunity to network with other students with dietary restrictions. Orientations may be given on an individual basis upon request. To be on our list of direct contacts for dining center orientations, communication must be initiated by submitting a Dietary Needs Request form through the StarRez portal.</w:t>
      </w:r>
    </w:p>
    <w:p w14:paraId="416EB01E" w14:textId="77777777" w:rsidR="00CA2451" w:rsidRDefault="002040B0">
      <w:pPr>
        <w:spacing w:before="240" w:after="240"/>
        <w:rPr>
          <w:sz w:val="24"/>
          <w:szCs w:val="24"/>
        </w:rPr>
      </w:pPr>
      <w:r>
        <w:rPr>
          <w:sz w:val="24"/>
          <w:szCs w:val="24"/>
          <w:u w:val="single"/>
        </w:rPr>
        <w:t>Comprehensive ingredients lists</w:t>
      </w:r>
      <w:r>
        <w:rPr>
          <w:sz w:val="24"/>
          <w:szCs w:val="24"/>
        </w:rPr>
        <w:t xml:space="preserve"> – ingredient lists can be supplied upon request for specific recipes or menus. Ingredients lists show duplicate information to that which is on the online menu nutrition screening tool, but in a consolidated form.</w:t>
      </w:r>
    </w:p>
    <w:p w14:paraId="4E6746DD" w14:textId="77777777" w:rsidR="00CA2451" w:rsidRDefault="00CA2451">
      <w:pPr>
        <w:spacing w:before="240" w:after="240"/>
        <w:rPr>
          <w:sz w:val="24"/>
          <w:szCs w:val="24"/>
        </w:rPr>
      </w:pPr>
    </w:p>
    <w:p w14:paraId="6B166F90" w14:textId="77777777" w:rsidR="00CA2451" w:rsidRDefault="002040B0">
      <w:pPr>
        <w:pStyle w:val="Heading4"/>
        <w:spacing w:before="240" w:after="240"/>
        <w:rPr>
          <w:i/>
          <w:iCs/>
          <w:color w:val="000000"/>
        </w:rPr>
      </w:pPr>
      <w:bookmarkStart w:id="9" w:name="_unowv1wuuzk" w:colFirst="0" w:colLast="0"/>
      <w:bookmarkEnd w:id="9"/>
      <w:r>
        <w:rPr>
          <w:i/>
          <w:iCs/>
          <w:color w:val="000000"/>
        </w:rPr>
        <w:lastRenderedPageBreak/>
        <w:t>Accommodations that can be requested through communication with DAS</w:t>
      </w:r>
    </w:p>
    <w:p w14:paraId="56C2DB00" w14:textId="77777777" w:rsidR="00CA2451" w:rsidRDefault="002040B0">
      <w:pPr>
        <w:spacing w:before="240" w:after="240"/>
        <w:rPr>
          <w:sz w:val="24"/>
          <w:szCs w:val="24"/>
        </w:rPr>
      </w:pPr>
      <w:r>
        <w:rPr>
          <w:sz w:val="24"/>
          <w:szCs w:val="24"/>
          <w:u w:val="single"/>
        </w:rPr>
        <w:t>Individual menu guides</w:t>
      </w:r>
      <w:r>
        <w:rPr>
          <w:sz w:val="24"/>
          <w:szCs w:val="24"/>
        </w:rPr>
        <w:t xml:space="preserve"> – the nutrition team can provide customized menu guides that list foods in restaurants at the dining centers and MU that have been pre-screened to exclude ingredients the individual cannot consume. These are tailored to the individual needs of the diner, and may be comprehensive for the dining center closest to their residence hall with general guidance for the other locations, or comprehensive for all locations. Examples of dietary needs that may be provided with an individual menu guide include Low FODMAP, IBS or IBD, or multiple allergies to common ingredients that are not among the top nine already labeled. Individual menu guides may be updated upon request, although the intention is for these to aid diners as they become familiar with campus restaurant navigation, and for individuals to become more adept at self-management as the school year progresses.</w:t>
      </w:r>
    </w:p>
    <w:p w14:paraId="0C587A3A" w14:textId="77777777" w:rsidR="00CA2451" w:rsidRDefault="002040B0">
      <w:pPr>
        <w:spacing w:before="240" w:after="240"/>
        <w:rPr>
          <w:sz w:val="24"/>
          <w:szCs w:val="24"/>
        </w:rPr>
      </w:pPr>
      <w:r>
        <w:rPr>
          <w:sz w:val="24"/>
          <w:szCs w:val="24"/>
          <w:u w:val="single"/>
        </w:rPr>
        <w:t>Personalized meal pick-up plan</w:t>
      </w:r>
      <w:r>
        <w:rPr>
          <w:sz w:val="24"/>
          <w:szCs w:val="24"/>
        </w:rPr>
        <w:t xml:space="preserve"> – in rare cases an individual may require special meal preparation that can be arranged for pickup in advance. These plans are coordinated with the individual, the nutrition team, and the culinary team. Examples of dietary restrictions that may need a personalized meal pick-up plan include Crohn’s disease or multiple anaphylactic allergies to widespread ingredients such as corn, soy, wheat, garlic, onions, etc. The same types of scenarios where, often, the student resident may elect to do a majority of their own cooking. Personalized meal pick-up plans require an agreement that outlines both UHDS provisions and individual expectations.</w:t>
      </w:r>
    </w:p>
    <w:p w14:paraId="3955B3C6" w14:textId="77777777" w:rsidR="00CA2451" w:rsidRDefault="002040B0">
      <w:pPr>
        <w:spacing w:before="240" w:after="240"/>
        <w:rPr>
          <w:sz w:val="24"/>
          <w:szCs w:val="24"/>
        </w:rPr>
      </w:pPr>
      <w:r>
        <w:rPr>
          <w:sz w:val="24"/>
          <w:szCs w:val="24"/>
          <w:u w:val="single"/>
        </w:rPr>
        <w:t>Reduced meal plan</w:t>
      </w:r>
      <w:r>
        <w:rPr>
          <w:sz w:val="24"/>
          <w:szCs w:val="24"/>
        </w:rPr>
        <w:t xml:space="preserve"> – this accommodation is available for individuals whose dietary needs are not readily able to be met through the accommodations outlined above and food options are significantly limited. This accommodation is not available simply upon request, and individuals must work with both DAS and the UHDS nutrition office for this option.</w:t>
      </w:r>
    </w:p>
    <w:p w14:paraId="27DE8F51" w14:textId="77777777" w:rsidR="00CA2451" w:rsidRDefault="002040B0">
      <w:pPr>
        <w:spacing w:before="240" w:after="240"/>
        <w:rPr>
          <w:sz w:val="24"/>
          <w:szCs w:val="24"/>
        </w:rPr>
      </w:pPr>
      <w:r>
        <w:rPr>
          <w:sz w:val="24"/>
          <w:szCs w:val="24"/>
          <w:u w:val="single"/>
        </w:rPr>
        <w:t>Residence hall placement based on dietary needs</w:t>
      </w:r>
      <w:r>
        <w:rPr>
          <w:sz w:val="24"/>
          <w:szCs w:val="24"/>
        </w:rPr>
        <w:t xml:space="preserve"> – for individuals that may need to do a majority of their own cooking, residence hall placement may be influenced by kitchen accessibility, in coordination with any other residence placement considerations, such as college enrollment, honors designation, or social associations, etc.</w:t>
      </w:r>
    </w:p>
    <w:p w14:paraId="202CEED8" w14:textId="77777777" w:rsidR="00CA2451" w:rsidRDefault="002040B0">
      <w:pPr>
        <w:spacing w:before="240" w:after="240"/>
      </w:pPr>
      <w:r>
        <w:t xml:space="preserve"> </w:t>
      </w:r>
    </w:p>
    <w:p w14:paraId="76D394D4" w14:textId="77777777" w:rsidR="00CA2451" w:rsidRDefault="002040B0">
      <w:pPr>
        <w:pStyle w:val="Heading2"/>
        <w:spacing w:before="240" w:after="240"/>
      </w:pPr>
      <w:bookmarkStart w:id="10" w:name="_9alljrq75cei" w:colFirst="0" w:colLast="0"/>
      <w:bookmarkEnd w:id="10"/>
      <w:r>
        <w:t>Specific Dietary Practices Considerations</w:t>
      </w:r>
    </w:p>
    <w:p w14:paraId="2E018A58" w14:textId="77777777" w:rsidR="00CA2451" w:rsidRDefault="002040B0">
      <w:pPr>
        <w:pStyle w:val="Heading3"/>
        <w:spacing w:before="240" w:after="240"/>
      </w:pPr>
      <w:bookmarkStart w:id="11" w:name="_da5vc3umgbp3" w:colFirst="0" w:colLast="0"/>
      <w:bookmarkEnd w:id="11"/>
      <w:r>
        <w:t>Celiac Disease and Severe Gluten Intolerance</w:t>
      </w:r>
    </w:p>
    <w:p w14:paraId="0C25193B" w14:textId="77777777" w:rsidR="00CA2451" w:rsidRDefault="002040B0">
      <w:pPr>
        <w:spacing w:before="240" w:after="240"/>
        <w:rPr>
          <w:sz w:val="24"/>
          <w:szCs w:val="24"/>
        </w:rPr>
      </w:pPr>
      <w:r>
        <w:rPr>
          <w:sz w:val="24"/>
          <w:szCs w:val="24"/>
        </w:rPr>
        <w:t xml:space="preserve">With dozens of students living on campus with celiac disease every year, this is a dietary restriction for which the dining nutrition and culinary team is trained and </w:t>
      </w:r>
      <w:r>
        <w:rPr>
          <w:sz w:val="24"/>
          <w:szCs w:val="24"/>
        </w:rPr>
        <w:lastRenderedPageBreak/>
        <w:t>accustomed to making accommodations. Definitions and accommodations are followed according to published guidance from the Celiac Disease Foundation, the FDA, and the National Celiac Association.</w:t>
      </w:r>
    </w:p>
    <w:p w14:paraId="064595F3" w14:textId="77777777" w:rsidR="00CA2451" w:rsidRDefault="002040B0">
      <w:pPr>
        <w:spacing w:before="240" w:after="240"/>
        <w:rPr>
          <w:sz w:val="24"/>
          <w:szCs w:val="24"/>
        </w:rPr>
      </w:pPr>
      <w:r>
        <w:rPr>
          <w:sz w:val="24"/>
          <w:szCs w:val="24"/>
        </w:rPr>
        <w:t>Most restaurant locations in all dining centers and MU restaurants (excluding those not managed by UHDS, such as Panda Express, Happy Lemon, and Dutch Brothers), have designated preparation stations and/or cooking equipment for safety of gluten-free food preparation to limit risk of cross-contact. Diners are encouraged to let team members know that they are “allergic” or “sensitive” to gluten when placing food orders so any protocols for special food preparation can be followed.</w:t>
      </w:r>
    </w:p>
    <w:p w14:paraId="36963085" w14:textId="77777777" w:rsidR="00CA2451" w:rsidRDefault="002040B0">
      <w:pPr>
        <w:spacing w:before="240" w:after="240"/>
        <w:rPr>
          <w:sz w:val="24"/>
          <w:szCs w:val="24"/>
        </w:rPr>
      </w:pPr>
      <w:r>
        <w:rPr>
          <w:sz w:val="24"/>
          <w:szCs w:val="24"/>
        </w:rPr>
        <w:t xml:space="preserve">There are multiple locations across campus that are almost exclusively gluten-free or have separate kitchen stations designated for the preparation of gluten-free foods. These locations include Cooper’s Creek at Marketplace West, Five Four One at McNary Dining Center, Nori Grill at Arnold/Southside Dining Center, and Off the Quad in the Memorial Union. Many other locations limit gluten-containing ingredients to the extent possible, following the “lowest common denominator” approach outlined above in the Introduction – this includes using gluten-free soy sauce and gluten-free breaded chicken tenders in all dining locations. All locations in the dining centers and MU have gluten-free options available and team members are trained on food preparation to keep ingredients separate and limit cross-contact risk. </w:t>
      </w:r>
    </w:p>
    <w:p w14:paraId="3AD01C5C" w14:textId="77777777" w:rsidR="00CA2451" w:rsidRDefault="002040B0">
      <w:pPr>
        <w:spacing w:before="240" w:after="240"/>
        <w:rPr>
          <w:sz w:val="24"/>
          <w:szCs w:val="24"/>
        </w:rPr>
      </w:pPr>
      <w:r>
        <w:rPr>
          <w:sz w:val="24"/>
          <w:szCs w:val="24"/>
        </w:rPr>
        <w:t xml:space="preserve">Any fried foods that are labeled GFF for “gluten-free friendly” are made in a separate, designated fryer – any fried foods that are made in a shared fryer with gluten are </w:t>
      </w:r>
      <w:r>
        <w:rPr>
          <w:i/>
          <w:iCs/>
          <w:sz w:val="24"/>
          <w:szCs w:val="24"/>
        </w:rPr>
        <w:t xml:space="preserve">not </w:t>
      </w:r>
      <w:r>
        <w:rPr>
          <w:sz w:val="24"/>
          <w:szCs w:val="24"/>
        </w:rPr>
        <w:t xml:space="preserve">labeled GFF although they may not contain any gluten ingredients. Gluten-free fryers are tested for the absence of gluten at least once annually (sometimes more frequently), using the industry-vetted test kit from </w:t>
      </w:r>
      <w:hyperlink r:id="rId29">
        <w:r>
          <w:rPr>
            <w:color w:val="1155CC"/>
            <w:sz w:val="24"/>
            <w:szCs w:val="24"/>
            <w:u w:val="single"/>
          </w:rPr>
          <w:t>Hygiena</w:t>
        </w:r>
      </w:hyperlink>
      <w:r>
        <w:rPr>
          <w:sz w:val="24"/>
          <w:szCs w:val="24"/>
        </w:rPr>
        <w:t>.</w:t>
      </w:r>
    </w:p>
    <w:p w14:paraId="5CDCB82E" w14:textId="77777777" w:rsidR="00CA2451" w:rsidRDefault="002040B0">
      <w:pPr>
        <w:spacing w:before="240" w:after="240"/>
        <w:rPr>
          <w:sz w:val="24"/>
          <w:szCs w:val="24"/>
        </w:rPr>
      </w:pPr>
      <w:r>
        <w:rPr>
          <w:sz w:val="24"/>
          <w:szCs w:val="24"/>
        </w:rPr>
        <w:t>A general</w:t>
      </w:r>
      <w:hyperlink r:id="rId30">
        <w:r>
          <w:rPr>
            <w:sz w:val="24"/>
            <w:szCs w:val="24"/>
          </w:rPr>
          <w:t xml:space="preserve"> </w:t>
        </w:r>
      </w:hyperlink>
      <w:hyperlink r:id="rId31">
        <w:r>
          <w:rPr>
            <w:color w:val="1155CC"/>
            <w:sz w:val="24"/>
            <w:szCs w:val="24"/>
            <w:u w:val="single"/>
          </w:rPr>
          <w:t>gluten-free menu guide</w:t>
        </w:r>
      </w:hyperlink>
      <w:r>
        <w:rPr>
          <w:sz w:val="24"/>
          <w:szCs w:val="24"/>
        </w:rPr>
        <w:t xml:space="preserve"> is reviewed and published for all locations in the three dining centers and the Memorial Union at the beginning of each term during the academic year. A list of certified gluten-free products available at Cascadia Market is also published at the beginning of each year.</w:t>
      </w:r>
    </w:p>
    <w:p w14:paraId="1A92B6D9" w14:textId="77777777" w:rsidR="00CA2451" w:rsidRDefault="002040B0">
      <w:pPr>
        <w:spacing w:before="240" w:after="240"/>
        <w:rPr>
          <w:sz w:val="24"/>
          <w:szCs w:val="24"/>
        </w:rPr>
      </w:pPr>
      <w:r>
        <w:rPr>
          <w:sz w:val="24"/>
          <w:szCs w:val="24"/>
        </w:rPr>
        <w:t>**Note about baked goods** Although the same symbol, GFF, is used for pastries made at the campus bakery, which designates the absence of gluten-containing ingredients, they are not made in a gluten-free facility and are therefore not considered safe for those with celiac disease. Any gluten-free baked products purchased from outside of OSU follow FDA regulations.</w:t>
      </w:r>
    </w:p>
    <w:p w14:paraId="097D5929" w14:textId="77777777" w:rsidR="00CA2451" w:rsidRDefault="002040B0">
      <w:pPr>
        <w:spacing w:before="240" w:after="240"/>
        <w:rPr>
          <w:sz w:val="24"/>
          <w:szCs w:val="24"/>
        </w:rPr>
      </w:pPr>
      <w:r>
        <w:rPr>
          <w:sz w:val="24"/>
          <w:szCs w:val="24"/>
        </w:rPr>
        <w:t xml:space="preserve">**Note about campus cafés and coffee shops** (Repeat message from the </w:t>
      </w:r>
      <w:hyperlink w:anchor="_l4lihrc89i18">
        <w:r>
          <w:rPr>
            <w:color w:val="1155CC"/>
            <w:sz w:val="24"/>
            <w:szCs w:val="24"/>
            <w:u w:val="single"/>
          </w:rPr>
          <w:t>Risk Disclaimer</w:t>
        </w:r>
      </w:hyperlink>
      <w:r>
        <w:rPr>
          <w:sz w:val="24"/>
          <w:szCs w:val="24"/>
        </w:rPr>
        <w:t xml:space="preserve">, below.) The retail dining locations outside the three dining centers and Memorial Union are not always able to limit cross-contact to the same degree and may </w:t>
      </w:r>
      <w:r>
        <w:rPr>
          <w:sz w:val="24"/>
          <w:szCs w:val="24"/>
        </w:rPr>
        <w:lastRenderedPageBreak/>
        <w:t>not be considered entirely safe for diners with severe allergies or celiac disease. There is a visible disclaimer posted at the point of order in each of these locations and diners with significant dietary restrictions are expected to make their own decisions about the safety of consuming food made in these locations.</w:t>
      </w:r>
    </w:p>
    <w:p w14:paraId="28D22175" w14:textId="77777777" w:rsidR="00CA2451" w:rsidRDefault="00CA2451">
      <w:pPr>
        <w:spacing w:before="240" w:after="240"/>
        <w:rPr>
          <w:sz w:val="24"/>
          <w:szCs w:val="24"/>
        </w:rPr>
      </w:pPr>
    </w:p>
    <w:p w14:paraId="205A5BC0" w14:textId="77777777" w:rsidR="00CA2451" w:rsidRDefault="002040B0">
      <w:pPr>
        <w:pStyle w:val="Heading3"/>
        <w:spacing w:before="240" w:after="240"/>
      </w:pPr>
      <w:bookmarkStart w:id="12" w:name="_irpeg0ezbv7r" w:colFirst="0" w:colLast="0"/>
      <w:bookmarkEnd w:id="12"/>
      <w:r>
        <w:t>Halal</w:t>
      </w:r>
    </w:p>
    <w:p w14:paraId="457E8AD9" w14:textId="77777777" w:rsidR="00CA2451" w:rsidRDefault="002040B0">
      <w:pPr>
        <w:spacing w:before="240" w:after="240"/>
        <w:rPr>
          <w:sz w:val="24"/>
          <w:szCs w:val="24"/>
        </w:rPr>
      </w:pPr>
      <w:r>
        <w:rPr>
          <w:sz w:val="24"/>
          <w:szCs w:val="24"/>
        </w:rPr>
        <w:t>UHDS has an established definition for halal based on guidance from the OSU Muslim community. Consistent with the approach to other dining accommodations, culinary menu development is conscious to include diverse options for each of the dietary practices in all locations across campus. Halal foods are not labeled as such unless they are made in a space that does not risk direct cross-contact with pork or share a fryer with foods that are haram.</w:t>
      </w:r>
    </w:p>
    <w:p w14:paraId="22A18638" w14:textId="77777777" w:rsidR="00CA2451" w:rsidRDefault="002040B0">
      <w:pPr>
        <w:spacing w:before="240" w:after="240"/>
        <w:rPr>
          <w:sz w:val="24"/>
          <w:szCs w:val="24"/>
        </w:rPr>
      </w:pPr>
      <w:r>
        <w:rPr>
          <w:sz w:val="24"/>
          <w:szCs w:val="24"/>
        </w:rPr>
        <w:t xml:space="preserve">Halal-certified meat certificates are maintained as current and can be viewed upon request in each dining center or at Off the Quad restaurant in the MU, or by emailing </w:t>
      </w:r>
      <w:hyperlink r:id="rId32">
        <w:r>
          <w:rPr>
            <w:color w:val="1155CC"/>
            <w:sz w:val="24"/>
            <w:szCs w:val="24"/>
            <w:u w:val="single"/>
          </w:rPr>
          <w:t>uhds.nutrition@oregonstate.edu</w:t>
        </w:r>
      </w:hyperlink>
      <w:r>
        <w:rPr>
          <w:sz w:val="24"/>
          <w:szCs w:val="24"/>
        </w:rPr>
        <w:t>.</w:t>
      </w:r>
    </w:p>
    <w:p w14:paraId="29A6CE96" w14:textId="77777777" w:rsidR="00CA2451" w:rsidRDefault="002040B0">
      <w:pPr>
        <w:spacing w:before="240" w:after="240"/>
        <w:rPr>
          <w:sz w:val="24"/>
          <w:szCs w:val="24"/>
        </w:rPr>
      </w:pPr>
      <w:r>
        <w:rPr>
          <w:sz w:val="24"/>
          <w:szCs w:val="24"/>
        </w:rPr>
        <w:t>An updated</w:t>
      </w:r>
      <w:hyperlink r:id="rId33">
        <w:r>
          <w:rPr>
            <w:sz w:val="24"/>
            <w:szCs w:val="24"/>
          </w:rPr>
          <w:t xml:space="preserve"> </w:t>
        </w:r>
      </w:hyperlink>
      <w:hyperlink r:id="rId34">
        <w:r>
          <w:rPr>
            <w:color w:val="1155CC"/>
            <w:sz w:val="24"/>
            <w:szCs w:val="24"/>
            <w:u w:val="single"/>
          </w:rPr>
          <w:t>halal menu guide</w:t>
        </w:r>
      </w:hyperlink>
      <w:r>
        <w:rPr>
          <w:sz w:val="24"/>
          <w:szCs w:val="24"/>
        </w:rPr>
        <w:t xml:space="preserve"> that includes all foods across campus is updated and published at the beginning of each term during the academic year.</w:t>
      </w:r>
    </w:p>
    <w:p w14:paraId="7F502BD4" w14:textId="77777777" w:rsidR="00CA2451" w:rsidRDefault="00CA2451">
      <w:pPr>
        <w:spacing w:before="240" w:after="240"/>
      </w:pPr>
    </w:p>
    <w:p w14:paraId="41AE4DF7" w14:textId="77777777" w:rsidR="00CA2451" w:rsidRDefault="002040B0">
      <w:pPr>
        <w:pStyle w:val="Heading3"/>
        <w:spacing w:before="240" w:after="240"/>
      </w:pPr>
      <w:bookmarkStart w:id="13" w:name="_wlkfgktoju2b" w:colFirst="0" w:colLast="0"/>
      <w:bookmarkEnd w:id="13"/>
      <w:r>
        <w:t>Vegetarian and Vegan</w:t>
      </w:r>
    </w:p>
    <w:p w14:paraId="56F1D093" w14:textId="77777777" w:rsidR="00CA2451" w:rsidRDefault="002040B0">
      <w:pPr>
        <w:spacing w:before="240" w:after="240"/>
        <w:rPr>
          <w:sz w:val="24"/>
          <w:szCs w:val="24"/>
        </w:rPr>
      </w:pPr>
      <w:r>
        <w:rPr>
          <w:sz w:val="24"/>
          <w:szCs w:val="24"/>
        </w:rPr>
        <w:t xml:space="preserve">Most menus in UHDS restaurants are designed to be build-your-own or made-to-order, which enables diners to select which type of protein option they would like. In line with the other dietary practices on campus, culinary menu development is done consciously to include a wide variety of options that are vegetarian or vegan. Often, requests for substitution of an alternative ingredient can easily make a dish vegetarian or vegan. </w:t>
      </w:r>
    </w:p>
    <w:p w14:paraId="15DB7B0F" w14:textId="77777777" w:rsidR="00CA2451" w:rsidRDefault="00000000">
      <w:pPr>
        <w:spacing w:before="240" w:after="240"/>
        <w:rPr>
          <w:sz w:val="24"/>
          <w:szCs w:val="24"/>
        </w:rPr>
      </w:pPr>
      <w:hyperlink r:id="rId35">
        <w:r w:rsidR="002040B0">
          <w:rPr>
            <w:color w:val="1155CC"/>
            <w:sz w:val="24"/>
            <w:szCs w:val="24"/>
            <w:u w:val="single"/>
          </w:rPr>
          <w:t>Vegetarian and vegan menu guides</w:t>
        </w:r>
      </w:hyperlink>
      <w:r w:rsidR="002040B0">
        <w:rPr>
          <w:sz w:val="24"/>
          <w:szCs w:val="24"/>
        </w:rPr>
        <w:t xml:space="preserve"> that list all options across campus are updated and published for each term during the regular academic year.</w:t>
      </w:r>
    </w:p>
    <w:p w14:paraId="200CB842" w14:textId="77777777" w:rsidR="00CA2451" w:rsidRDefault="002040B0">
      <w:pPr>
        <w:spacing w:before="240" w:after="240"/>
      </w:pPr>
      <w:r>
        <w:t xml:space="preserve"> </w:t>
      </w:r>
    </w:p>
    <w:p w14:paraId="23056C3C" w14:textId="77777777" w:rsidR="00CA2451" w:rsidRDefault="002040B0">
      <w:pPr>
        <w:pStyle w:val="Heading2"/>
        <w:spacing w:before="240" w:after="240"/>
      </w:pPr>
      <w:bookmarkStart w:id="14" w:name="_l4lihrc89i18" w:colFirst="0" w:colLast="0"/>
      <w:bookmarkEnd w:id="14"/>
      <w:r>
        <w:t>Allergy and Cross-contact Risk Disclaimer</w:t>
      </w:r>
    </w:p>
    <w:p w14:paraId="2215EC60" w14:textId="77777777" w:rsidR="00CA2451" w:rsidRDefault="002040B0">
      <w:pPr>
        <w:spacing w:before="240" w:after="240"/>
        <w:rPr>
          <w:sz w:val="24"/>
          <w:szCs w:val="24"/>
        </w:rPr>
      </w:pPr>
      <w:r>
        <w:rPr>
          <w:sz w:val="24"/>
          <w:szCs w:val="24"/>
        </w:rPr>
        <w:t xml:space="preserve">UHDS is committed to identifying ingredients that may cause reactions for those with food allergies and intolerances and trains employees on safe handling procedures to minimize risk; however, because foods are prepared in a commercial kitchen, there is </w:t>
      </w:r>
      <w:r>
        <w:rPr>
          <w:sz w:val="24"/>
          <w:szCs w:val="24"/>
        </w:rPr>
        <w:lastRenderedPageBreak/>
        <w:t>always some risk of cross contact of allergens and gluten. Consumers should also be aware of the risk that manufacturers of the commercial foods OSU uses may change the formulation of ingredients or substitute other ingredients at any time, without notice.</w:t>
      </w:r>
    </w:p>
    <w:p w14:paraId="3E19E9A7" w14:textId="77777777" w:rsidR="00CA2451" w:rsidRDefault="002040B0">
      <w:pPr>
        <w:spacing w:before="240" w:after="240"/>
        <w:rPr>
          <w:sz w:val="24"/>
          <w:szCs w:val="24"/>
        </w:rPr>
      </w:pPr>
      <w:r>
        <w:rPr>
          <w:sz w:val="24"/>
          <w:szCs w:val="24"/>
        </w:rPr>
        <w:t>Diners on campus should be conscious that certain foods may not display the regular allergen or dietary practice icons and may not have been nutritionally reviewed. Such foods include specials, pop-ups, promotions, or one-time events. Although our team works to provide the best and most accurate information about food nutrition and allergens, some operational constraints limit the ability to complete this process for these types of offerings in dining.</w:t>
      </w:r>
    </w:p>
    <w:p w14:paraId="03259027" w14:textId="77777777" w:rsidR="00CA2451" w:rsidRDefault="002040B0">
      <w:pPr>
        <w:spacing w:before="240" w:after="240"/>
        <w:rPr>
          <w:sz w:val="24"/>
          <w:szCs w:val="24"/>
        </w:rPr>
      </w:pPr>
      <w:r>
        <w:rPr>
          <w:sz w:val="24"/>
          <w:szCs w:val="24"/>
        </w:rPr>
        <w:t>**Note about campus cafés and coffee shops** The retail dining locations outside the three dining centers and Memorial Union are usually not able to limit cross-contact to the same degree and may not be considered entirely safe for diners with severe allergies or celiac disease. There is a visible disclaimer posted at the point of order in each of these locations and diners with significant dietary restrictions are expected to make their own decisions about the safety of consuming food made in these locations.</w:t>
      </w:r>
    </w:p>
    <w:p w14:paraId="5317CB89" w14:textId="77777777" w:rsidR="00CA2451" w:rsidRDefault="00CA2451">
      <w:pPr>
        <w:spacing w:before="240" w:after="240"/>
        <w:rPr>
          <w:sz w:val="24"/>
          <w:szCs w:val="24"/>
        </w:rPr>
      </w:pPr>
    </w:p>
    <w:p w14:paraId="52E8166B" w14:textId="77777777" w:rsidR="00CA2451" w:rsidRDefault="002040B0">
      <w:pPr>
        <w:pStyle w:val="Heading3"/>
        <w:spacing w:before="240" w:after="240"/>
      </w:pPr>
      <w:bookmarkStart w:id="15" w:name="_3n9b4o7iv47y" w:colFirst="0" w:colLast="0"/>
      <w:bookmarkEnd w:id="15"/>
      <w:r>
        <w:t>Additional information</w:t>
      </w:r>
    </w:p>
    <w:p w14:paraId="2CB0FAF0" w14:textId="77777777" w:rsidR="00CA2451" w:rsidRDefault="002040B0">
      <w:pPr>
        <w:spacing w:before="240" w:after="240"/>
        <w:rPr>
          <w:sz w:val="24"/>
          <w:szCs w:val="24"/>
        </w:rPr>
      </w:pPr>
      <w:r>
        <w:rPr>
          <w:sz w:val="24"/>
          <w:szCs w:val="24"/>
        </w:rPr>
        <w:t>UHDS employees are prohibited from administering epinephrine. Patrons who carry and may need epinephrine administration are recommended to educate some close peers on recognizing an anaphylactic reaction and administering an epi-pen. UHDS team members are trained that the first and immediate line of response in an emergency is to call 911.</w:t>
      </w:r>
      <w:hyperlink r:id="rId36">
        <w:r>
          <w:rPr>
            <w:sz w:val="24"/>
            <w:szCs w:val="24"/>
          </w:rPr>
          <w:t xml:space="preserve"> </w:t>
        </w:r>
      </w:hyperlink>
      <w:hyperlink r:id="rId37">
        <w:r>
          <w:rPr>
            <w:color w:val="1155CC"/>
            <w:sz w:val="24"/>
            <w:szCs w:val="24"/>
            <w:u w:val="single"/>
          </w:rPr>
          <w:t>Good Samaritan Regional Medical Center</w:t>
        </w:r>
      </w:hyperlink>
      <w:r>
        <w:rPr>
          <w:sz w:val="24"/>
          <w:szCs w:val="24"/>
        </w:rPr>
        <w:t xml:space="preserve"> is the hospital with emergency services located in Corvallis.</w:t>
      </w:r>
    </w:p>
    <w:p w14:paraId="1C978A87" w14:textId="77777777" w:rsidR="00CA2451" w:rsidRDefault="002040B0">
      <w:pPr>
        <w:pStyle w:val="Heading3"/>
        <w:spacing w:before="240" w:after="240"/>
      </w:pPr>
      <w:bookmarkStart w:id="16" w:name="_nawe3f58ez2u" w:colFirst="0" w:colLast="0"/>
      <w:bookmarkEnd w:id="16"/>
      <w:r>
        <w:t>Eco2Go reusable containers</w:t>
      </w:r>
    </w:p>
    <w:p w14:paraId="7CAA1F80" w14:textId="77777777" w:rsidR="00CA2451" w:rsidRDefault="002040B0">
      <w:pPr>
        <w:spacing w:before="240" w:after="240"/>
        <w:rPr>
          <w:sz w:val="24"/>
          <w:szCs w:val="24"/>
        </w:rPr>
      </w:pPr>
      <w:r>
        <w:rPr>
          <w:sz w:val="24"/>
          <w:szCs w:val="24"/>
        </w:rPr>
        <w:t xml:space="preserve">The Eco2Go reusable food container program began operation at OSU in 2012 and they have been demonstrated as safe for repeated customer use. Eco2Go containers go through a complete cleaning and sanitation process to ensure their safety for food contact to prevent both foodborne illness and food allergic reactions. Reusable food containers have not been identified through research or experience as a source of concern for individuals sensitive to food ingredients or allergens. </w:t>
      </w:r>
    </w:p>
    <w:p w14:paraId="25877620" w14:textId="77777777" w:rsidR="00CA2451" w:rsidRDefault="00CA2451">
      <w:pPr>
        <w:spacing w:before="240" w:after="240"/>
        <w:rPr>
          <w:sz w:val="24"/>
          <w:szCs w:val="24"/>
        </w:rPr>
      </w:pPr>
    </w:p>
    <w:p w14:paraId="58CB7095" w14:textId="77777777" w:rsidR="00CA2451" w:rsidRDefault="002040B0">
      <w:pPr>
        <w:pStyle w:val="Heading2"/>
        <w:spacing w:before="240" w:after="240"/>
      </w:pPr>
      <w:bookmarkStart w:id="17" w:name="_47srtqptfqek" w:colFirst="0" w:colLast="0"/>
      <w:bookmarkEnd w:id="17"/>
      <w:r>
        <w:lastRenderedPageBreak/>
        <w:t>Information on Dining Plans</w:t>
      </w:r>
    </w:p>
    <w:p w14:paraId="0FAADE7F" w14:textId="77777777" w:rsidR="00CA2451" w:rsidRDefault="002040B0">
      <w:pPr>
        <w:spacing w:before="240" w:after="240"/>
        <w:rPr>
          <w:sz w:val="24"/>
          <w:szCs w:val="24"/>
        </w:rPr>
      </w:pPr>
      <w:r>
        <w:rPr>
          <w:sz w:val="24"/>
          <w:szCs w:val="24"/>
        </w:rPr>
        <w:t xml:space="preserve">All residents living on campus are required to have a </w:t>
      </w:r>
      <w:hyperlink r:id="rId38">
        <w:r>
          <w:rPr>
            <w:color w:val="1155CC"/>
            <w:sz w:val="24"/>
            <w:szCs w:val="24"/>
            <w:u w:val="single"/>
          </w:rPr>
          <w:t>Dining Plan</w:t>
        </w:r>
      </w:hyperlink>
      <w:r>
        <w:rPr>
          <w:sz w:val="24"/>
          <w:szCs w:val="24"/>
        </w:rPr>
        <w:t xml:space="preserve">, as per the </w:t>
      </w:r>
      <w:hyperlink r:id="rId39">
        <w:r>
          <w:rPr>
            <w:color w:val="1155CC"/>
            <w:sz w:val="24"/>
            <w:szCs w:val="24"/>
            <w:u w:val="single"/>
          </w:rPr>
          <w:t>UHDS Housing Contract</w:t>
        </w:r>
      </w:hyperlink>
      <w:r>
        <w:rPr>
          <w:sz w:val="24"/>
          <w:szCs w:val="24"/>
        </w:rPr>
        <w:t xml:space="preserve">. Residents receive 20% discount off menu price of food in dining centers and two restaurants in the MU - in all other UHDS dining locations the discount is 10%, including at Cascadia Market. </w:t>
      </w:r>
    </w:p>
    <w:p w14:paraId="292663DD" w14:textId="77777777" w:rsidR="00CA2451" w:rsidRDefault="002040B0">
      <w:pPr>
        <w:spacing w:before="240" w:after="240"/>
        <w:rPr>
          <w:sz w:val="24"/>
          <w:szCs w:val="24"/>
        </w:rPr>
      </w:pPr>
      <w:r>
        <w:rPr>
          <w:sz w:val="24"/>
          <w:szCs w:val="24"/>
        </w:rPr>
        <w:t xml:space="preserve">Any of the dining plans 1 - 4 are available to all first-year students. To qualify for plan 5, students must have lived on campus for a full year immediately prior to the current term. </w:t>
      </w:r>
    </w:p>
    <w:p w14:paraId="40D1D1D4" w14:textId="77777777" w:rsidR="00CA2451" w:rsidRDefault="002040B0">
      <w:pPr>
        <w:spacing w:before="240" w:after="240"/>
        <w:rPr>
          <w:sz w:val="24"/>
          <w:szCs w:val="24"/>
        </w:rPr>
      </w:pPr>
      <w:r>
        <w:rPr>
          <w:sz w:val="24"/>
          <w:szCs w:val="24"/>
        </w:rPr>
        <w:t>Dining plans may be increased at any time during the term, but they may only be lowered up to three weeks into the term. For students with dietary restrictions that feel they may not eat out on campus as frequently, they may be more comfortable starting with Meal Plan 4 and raising the value later in the term if they run low on their balance.</w:t>
      </w:r>
    </w:p>
    <w:p w14:paraId="4C6B82DD" w14:textId="77777777" w:rsidR="00CA2451" w:rsidRDefault="002040B0">
      <w:pPr>
        <w:spacing w:before="240" w:after="240"/>
        <w:rPr>
          <w:sz w:val="24"/>
          <w:szCs w:val="24"/>
        </w:rPr>
      </w:pPr>
      <w:r>
        <w:rPr>
          <w:sz w:val="24"/>
          <w:szCs w:val="24"/>
        </w:rPr>
        <w:t>Dining plan values “roll over” and are available for spending for a full year following a student’s move off of campus. Once students move off campus the discount in dining centers for any remaining balance on a dining plan reduces to 10%.</w:t>
      </w:r>
    </w:p>
    <w:p w14:paraId="538831C0" w14:textId="77777777" w:rsidR="00CA2451" w:rsidRDefault="002040B0">
      <w:pPr>
        <w:spacing w:before="240" w:after="240"/>
        <w:rPr>
          <w:sz w:val="24"/>
          <w:szCs w:val="24"/>
        </w:rPr>
      </w:pPr>
      <w:r>
        <w:rPr>
          <w:sz w:val="24"/>
          <w:szCs w:val="24"/>
        </w:rPr>
        <w:t xml:space="preserve">For students who may spend more than the value of dining plan 1, </w:t>
      </w:r>
      <w:hyperlink r:id="rId40">
        <w:r>
          <w:rPr>
            <w:color w:val="1155CC"/>
            <w:sz w:val="24"/>
            <w:szCs w:val="24"/>
            <w:u w:val="single"/>
          </w:rPr>
          <w:t>Orange Cash</w:t>
        </w:r>
      </w:hyperlink>
      <w:r>
        <w:rPr>
          <w:sz w:val="24"/>
          <w:szCs w:val="24"/>
        </w:rPr>
        <w:t xml:space="preserve"> is also available as a spendable account on student ID’s, and provides a 10% discount off menu prices. </w:t>
      </w:r>
    </w:p>
    <w:p w14:paraId="2AE967F2" w14:textId="77777777" w:rsidR="00CA2451" w:rsidRDefault="002040B0">
      <w:pPr>
        <w:spacing w:before="240" w:after="240"/>
        <w:rPr>
          <w:sz w:val="24"/>
          <w:szCs w:val="24"/>
        </w:rPr>
      </w:pPr>
      <w:r>
        <w:rPr>
          <w:sz w:val="24"/>
          <w:szCs w:val="24"/>
        </w:rPr>
        <w:t xml:space="preserve">For additional information regarding dining plans, please refer to the sections on </w:t>
      </w:r>
      <w:hyperlink w:anchor="_unowv1wuuzk">
        <w:r>
          <w:rPr>
            <w:color w:val="1155CC"/>
            <w:sz w:val="24"/>
            <w:szCs w:val="24"/>
            <w:u w:val="single"/>
          </w:rPr>
          <w:t>Accommodations available through connection with DAS</w:t>
        </w:r>
      </w:hyperlink>
      <w:r>
        <w:rPr>
          <w:sz w:val="24"/>
          <w:szCs w:val="24"/>
        </w:rPr>
        <w:t xml:space="preserve">, as well as the </w:t>
      </w:r>
      <w:hyperlink w:anchor="_nv13sbl63v0c">
        <w:r>
          <w:rPr>
            <w:color w:val="1155CC"/>
            <w:sz w:val="24"/>
            <w:szCs w:val="24"/>
            <w:u w:val="single"/>
          </w:rPr>
          <w:t>FAQ’s</w:t>
        </w:r>
      </w:hyperlink>
      <w:r>
        <w:rPr>
          <w:sz w:val="24"/>
          <w:szCs w:val="24"/>
        </w:rPr>
        <w:t>.</w:t>
      </w:r>
    </w:p>
    <w:p w14:paraId="5745768B" w14:textId="77777777" w:rsidR="00CA2451" w:rsidRDefault="00CA2451">
      <w:pPr>
        <w:spacing w:before="240" w:after="240"/>
      </w:pPr>
    </w:p>
    <w:p w14:paraId="1EE1A537" w14:textId="77777777" w:rsidR="00CA2451" w:rsidRDefault="002040B0">
      <w:pPr>
        <w:pStyle w:val="Heading2"/>
        <w:spacing w:before="240" w:after="240"/>
      </w:pPr>
      <w:bookmarkStart w:id="18" w:name="_tmu47tf5kpf" w:colFirst="0" w:colLast="0"/>
      <w:bookmarkEnd w:id="18"/>
      <w:r>
        <w:t>Summer Camps and Conferences</w:t>
      </w:r>
    </w:p>
    <w:p w14:paraId="518BE5FA" w14:textId="77777777" w:rsidR="00CA2451" w:rsidRDefault="002040B0">
      <w:pPr>
        <w:spacing w:before="240" w:after="240"/>
        <w:rPr>
          <w:sz w:val="24"/>
          <w:szCs w:val="24"/>
        </w:rPr>
      </w:pPr>
      <w:r>
        <w:rPr>
          <w:sz w:val="24"/>
          <w:szCs w:val="24"/>
        </w:rPr>
        <w:t>All foods offered during the Summer season are comprehensively reviewed and labeled in alignment with typical protocols for the regular academic year – please refer to the introductory sections of this document for more information.</w:t>
      </w:r>
    </w:p>
    <w:p w14:paraId="7F028E18" w14:textId="77777777" w:rsidR="00CA2451" w:rsidRDefault="002040B0">
      <w:pPr>
        <w:spacing w:before="240" w:after="240"/>
        <w:rPr>
          <w:sz w:val="24"/>
          <w:szCs w:val="24"/>
        </w:rPr>
      </w:pPr>
      <w:r>
        <w:rPr>
          <w:sz w:val="24"/>
          <w:szCs w:val="24"/>
        </w:rPr>
        <w:t xml:space="preserve">During summer camps and conferences our dining facilities are </w:t>
      </w:r>
      <w:r>
        <w:rPr>
          <w:b/>
          <w:bCs/>
          <w:i/>
          <w:iCs/>
          <w:sz w:val="24"/>
          <w:szCs w:val="24"/>
        </w:rPr>
        <w:t>exclusively tree nut- and peanut-free</w:t>
      </w:r>
      <w:r>
        <w:rPr>
          <w:sz w:val="24"/>
          <w:szCs w:val="24"/>
        </w:rPr>
        <w:t xml:space="preserve"> to limit risk to youth served during these events.</w:t>
      </w:r>
    </w:p>
    <w:p w14:paraId="20122C9A" w14:textId="77777777" w:rsidR="00CA2451" w:rsidRDefault="002040B0">
      <w:pPr>
        <w:spacing w:before="240" w:after="240"/>
        <w:rPr>
          <w:sz w:val="24"/>
          <w:szCs w:val="24"/>
        </w:rPr>
      </w:pPr>
      <w:r>
        <w:rPr>
          <w:sz w:val="24"/>
          <w:szCs w:val="24"/>
        </w:rPr>
        <w:t xml:space="preserve">Please work with your camp or conference coordinator to complete the dietary needs information for individuals within your group. If a significant dietary accommodation (please refer to the accommodations section) may need to be made </w:t>
      </w:r>
      <w:r>
        <w:rPr>
          <w:i/>
          <w:iCs/>
          <w:sz w:val="24"/>
          <w:szCs w:val="24"/>
        </w:rPr>
        <w:t>beyond regular operational accommodations</w:t>
      </w:r>
      <w:r>
        <w:rPr>
          <w:sz w:val="24"/>
          <w:szCs w:val="24"/>
        </w:rPr>
        <w:t>, individual attendees may submit a UHDS Summer Camp/Conference</w:t>
      </w:r>
      <w:hyperlink r:id="rId41">
        <w:r>
          <w:rPr>
            <w:sz w:val="24"/>
            <w:szCs w:val="24"/>
          </w:rPr>
          <w:t xml:space="preserve"> </w:t>
        </w:r>
      </w:hyperlink>
      <w:hyperlink r:id="rId42">
        <w:r>
          <w:rPr>
            <w:color w:val="1155CC"/>
            <w:sz w:val="24"/>
            <w:szCs w:val="24"/>
            <w:u w:val="single"/>
          </w:rPr>
          <w:t>Dietary Needs Request</w:t>
        </w:r>
      </w:hyperlink>
      <w:r>
        <w:rPr>
          <w:sz w:val="24"/>
          <w:szCs w:val="24"/>
        </w:rPr>
        <w:t xml:space="preserve"> form.</w:t>
      </w:r>
    </w:p>
    <w:p w14:paraId="7445C96A" w14:textId="77777777" w:rsidR="00CA2451" w:rsidRDefault="00CA2451">
      <w:pPr>
        <w:spacing w:before="240" w:after="240"/>
      </w:pPr>
    </w:p>
    <w:p w14:paraId="344CCD90" w14:textId="77777777" w:rsidR="00CA2451" w:rsidRDefault="002040B0">
      <w:pPr>
        <w:pStyle w:val="Heading2"/>
        <w:spacing w:before="240" w:after="240"/>
      </w:pPr>
      <w:bookmarkStart w:id="19" w:name="_ltg9c6kg9wv" w:colFirst="0" w:colLast="0"/>
      <w:bookmarkEnd w:id="19"/>
      <w:r>
        <w:t>Catering</w:t>
      </w:r>
    </w:p>
    <w:p w14:paraId="0176D014" w14:textId="77777777" w:rsidR="00CA2451" w:rsidRDefault="002040B0">
      <w:pPr>
        <w:spacing w:before="240" w:after="240"/>
        <w:rPr>
          <w:sz w:val="24"/>
          <w:szCs w:val="24"/>
        </w:rPr>
      </w:pPr>
      <w:r>
        <w:rPr>
          <w:sz w:val="24"/>
          <w:szCs w:val="24"/>
        </w:rPr>
        <w:t>Traditionally, catered recipes have been reviewed and labeled independently by the catering culinary and management team using the same icons and definitions as the rest of UHDS. By Fall 2023, all recipes served by UHDS catering will be comprehensively reviewed for allergen and dietary practice information by the nutrition office. Special dietary accommodations for catered events may be made upon request with a catering manager – some accommodations may require at least one-week advance notice prior to the event.</w:t>
      </w:r>
    </w:p>
    <w:p w14:paraId="46193CAC" w14:textId="77777777" w:rsidR="00CA2451" w:rsidRDefault="002040B0">
      <w:pPr>
        <w:spacing w:before="240" w:after="240"/>
      </w:pPr>
      <w:r>
        <w:t xml:space="preserve"> </w:t>
      </w:r>
    </w:p>
    <w:p w14:paraId="51396F2C" w14:textId="77777777" w:rsidR="00CA2451" w:rsidRDefault="002040B0">
      <w:pPr>
        <w:pStyle w:val="Heading2"/>
        <w:spacing w:before="240" w:after="240"/>
      </w:pPr>
      <w:bookmarkStart w:id="20" w:name="_rhli9b9c5767" w:colFirst="0" w:colLast="0"/>
      <w:bookmarkEnd w:id="20"/>
      <w:r>
        <w:t>Allergen and Dietary Practice Icons and Definitions</w:t>
      </w:r>
    </w:p>
    <w:p w14:paraId="236AC460" w14:textId="77777777" w:rsidR="00CA2451" w:rsidRDefault="002040B0">
      <w:r>
        <w:t xml:space="preserve">The screening and labeling/designation of ingredients and recipes is done by our nutrition team with dietetics or food science education. Many ingredients are referenced directly with either the supplier or manufacturer for clarification in instances of uncertainty. Although at this time there is no method of indicating whether a manufacturer has included a disclaimer statement on packaging regarding shared equipment or facilities, students that are concerned about this are encouraged to reach out to our office at </w:t>
      </w:r>
      <w:hyperlink r:id="rId43">
        <w:r>
          <w:rPr>
            <w:color w:val="1155CC"/>
            <w:u w:val="single"/>
          </w:rPr>
          <w:t>uhds.nutrition@oregonstate.edu</w:t>
        </w:r>
      </w:hyperlink>
      <w:r>
        <w:t xml:space="preserve"> for assistance. </w:t>
      </w:r>
    </w:p>
    <w:p w14:paraId="51FC6519" w14:textId="77777777" w:rsidR="00CA2451" w:rsidRDefault="00CA2451"/>
    <w:p w14:paraId="5ABF6232" w14:textId="77777777" w:rsidR="00CA2451" w:rsidRDefault="002040B0">
      <w:r>
        <w:t xml:space="preserve">The following table shares in-depth information about how each allergen or dietary practice icon/designation is screened and labeled. The lists of ingredients or food types below are not exhaustive and other ingredients or foods may also be considered during the screening process. </w:t>
      </w:r>
    </w:p>
    <w:p w14:paraId="7B270A80" w14:textId="77777777" w:rsidR="00CA2451" w:rsidRDefault="002040B0">
      <w:pPr>
        <w:spacing w:before="240" w:after="240"/>
      </w:pPr>
      <w:r>
        <w:t xml:space="preserve"> </w:t>
      </w:r>
    </w:p>
    <w:tbl>
      <w:tblPr>
        <w:tblStyle w:val="a"/>
        <w:tblW w:w="13635" w:type="dxa"/>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20" w:firstRow="1" w:lastRow="0" w:firstColumn="0" w:lastColumn="0" w:noHBand="1" w:noVBand="1"/>
      </w:tblPr>
      <w:tblGrid>
        <w:gridCol w:w="1545"/>
        <w:gridCol w:w="3315"/>
        <w:gridCol w:w="8775"/>
      </w:tblGrid>
      <w:tr w:rsidR="00CA2451" w14:paraId="4BBC7B40" w14:textId="77777777" w:rsidTr="00EB197F">
        <w:trPr>
          <w:trHeight w:val="530"/>
        </w:trPr>
        <w:tc>
          <w:tcPr>
            <w:tcW w:w="15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CAD7BF" w14:textId="77777777" w:rsidR="00CA2451" w:rsidRDefault="00CA2451">
            <w:pPr>
              <w:widowControl w:val="0"/>
              <w:pBdr>
                <w:top w:val="nil"/>
                <w:left w:val="nil"/>
                <w:bottom w:val="nil"/>
                <w:right w:val="nil"/>
                <w:between w:val="nil"/>
              </w:pBdr>
              <w:rPr>
                <w:b/>
                <w:bCs/>
              </w:rPr>
            </w:pPr>
          </w:p>
          <w:p w14:paraId="37C38EFB" w14:textId="77777777" w:rsidR="00CA2451" w:rsidRDefault="002040B0">
            <w:pPr>
              <w:widowControl w:val="0"/>
              <w:pBdr>
                <w:top w:val="nil"/>
                <w:left w:val="nil"/>
                <w:bottom w:val="nil"/>
                <w:right w:val="nil"/>
                <w:between w:val="nil"/>
              </w:pBdr>
              <w:spacing w:after="200"/>
              <w:jc w:val="center"/>
            </w:pPr>
            <w:r>
              <w:rPr>
                <w:b/>
                <w:bCs/>
              </w:rPr>
              <w:t>Icon</w:t>
            </w:r>
          </w:p>
        </w:tc>
        <w:tc>
          <w:tcPr>
            <w:tcW w:w="3315" w:type="dxa"/>
            <w:tcBorders>
              <w:top w:val="single" w:sz="12" w:space="0" w:color="000000"/>
              <w:left w:val="single" w:sz="12" w:space="0" w:color="000000"/>
              <w:bottom w:val="nil"/>
              <w:right w:val="single" w:sz="12" w:space="0" w:color="000000"/>
            </w:tcBorders>
            <w:tcMar>
              <w:top w:w="100" w:type="dxa"/>
              <w:left w:w="100" w:type="dxa"/>
              <w:bottom w:w="100" w:type="dxa"/>
              <w:right w:w="100" w:type="dxa"/>
            </w:tcMar>
          </w:tcPr>
          <w:p w14:paraId="64510FCB" w14:textId="77777777" w:rsidR="00CA2451" w:rsidRDefault="00CA2451">
            <w:pPr>
              <w:spacing w:line="240" w:lineRule="auto"/>
              <w:jc w:val="center"/>
              <w:rPr>
                <w:b/>
                <w:bCs/>
              </w:rPr>
            </w:pPr>
          </w:p>
          <w:p w14:paraId="14D7CC12" w14:textId="77777777" w:rsidR="00CA2451" w:rsidRDefault="002040B0">
            <w:pPr>
              <w:spacing w:after="240"/>
              <w:jc w:val="center"/>
            </w:pPr>
            <w:r>
              <w:rPr>
                <w:b/>
                <w:bCs/>
              </w:rPr>
              <w:t>Allergens / Dietary Practice</w:t>
            </w:r>
          </w:p>
        </w:tc>
        <w:tc>
          <w:tcPr>
            <w:tcW w:w="8775" w:type="dxa"/>
            <w:tcBorders>
              <w:top w:val="single" w:sz="12" w:space="0" w:color="000000"/>
              <w:left w:val="single" w:sz="12" w:space="0" w:color="000000"/>
              <w:bottom w:val="nil"/>
              <w:right w:val="single" w:sz="12" w:space="0" w:color="000000"/>
            </w:tcBorders>
            <w:tcMar>
              <w:top w:w="100" w:type="dxa"/>
              <w:left w:w="100" w:type="dxa"/>
              <w:bottom w:w="100" w:type="dxa"/>
              <w:right w:w="100" w:type="dxa"/>
            </w:tcMar>
          </w:tcPr>
          <w:p w14:paraId="35BC828A" w14:textId="77777777" w:rsidR="00CA2451" w:rsidRDefault="00CA2451">
            <w:pPr>
              <w:spacing w:line="240" w:lineRule="auto"/>
              <w:jc w:val="center"/>
              <w:rPr>
                <w:b/>
                <w:bCs/>
              </w:rPr>
            </w:pPr>
          </w:p>
          <w:p w14:paraId="1BE8C439" w14:textId="77777777" w:rsidR="00CA2451" w:rsidRDefault="002040B0">
            <w:pPr>
              <w:spacing w:line="240" w:lineRule="auto"/>
              <w:jc w:val="center"/>
              <w:rPr>
                <w:b/>
                <w:bCs/>
              </w:rPr>
            </w:pPr>
            <w:r>
              <w:rPr>
                <w:b/>
                <w:bCs/>
              </w:rPr>
              <w:t>Labeling Parameters</w:t>
            </w:r>
          </w:p>
        </w:tc>
      </w:tr>
      <w:tr w:rsidR="00CA2451" w14:paraId="21F3CE33" w14:textId="77777777" w:rsidTr="00EB197F">
        <w:trPr>
          <w:trHeight w:val="995"/>
        </w:trPr>
        <w:tc>
          <w:tcPr>
            <w:tcW w:w="1545" w:type="dxa"/>
            <w:tcBorders>
              <w:top w:val="single" w:sz="12" w:space="0" w:color="000000"/>
            </w:tcBorders>
            <w:shd w:val="clear" w:color="auto" w:fill="FFFFFF"/>
            <w:tcMar>
              <w:top w:w="100" w:type="dxa"/>
              <w:left w:w="100" w:type="dxa"/>
              <w:bottom w:w="100" w:type="dxa"/>
              <w:right w:w="100" w:type="dxa"/>
            </w:tcMar>
          </w:tcPr>
          <w:p w14:paraId="18D1171A" w14:textId="77777777" w:rsidR="00CA2451" w:rsidRDefault="002040B0">
            <w:pPr>
              <w:spacing w:before="240" w:after="240"/>
              <w:jc w:val="center"/>
            </w:pPr>
            <w:r>
              <w:rPr>
                <w:noProof/>
              </w:rPr>
              <w:drawing>
                <wp:inline distT="114300" distB="114300" distL="114300" distR="114300" wp14:anchorId="2B66EA1F" wp14:editId="1DF88D0E">
                  <wp:extent cx="482600" cy="482600"/>
                  <wp:effectExtent l="0" t="0" r="0" b="0"/>
                  <wp:docPr id="11" name="image16.png" descr="Gluten-Free Friendly icon"/>
                  <wp:cNvGraphicFramePr/>
                  <a:graphic xmlns:a="http://schemas.openxmlformats.org/drawingml/2006/main">
                    <a:graphicData uri="http://schemas.openxmlformats.org/drawingml/2006/picture">
                      <pic:pic xmlns:pic="http://schemas.openxmlformats.org/drawingml/2006/picture">
                        <pic:nvPicPr>
                          <pic:cNvPr id="11" name="image16.png" descr="Gluten-Free Friendly icon"/>
                          <pic:cNvPicPr preferRelativeResize="0"/>
                        </pic:nvPicPr>
                        <pic:blipFill>
                          <a:blip r:embed="rId44"/>
                          <a:srcRect/>
                          <a:stretch>
                            <a:fillRect/>
                          </a:stretch>
                        </pic:blipFill>
                        <pic:spPr>
                          <a:xfrm>
                            <a:off x="0" y="0"/>
                            <a:ext cx="482600" cy="482600"/>
                          </a:xfrm>
                          <a:prstGeom prst="rect">
                            <a:avLst/>
                          </a:prstGeom>
                          <a:ln/>
                        </pic:spPr>
                      </pic:pic>
                    </a:graphicData>
                  </a:graphic>
                </wp:inline>
              </w:drawing>
            </w:r>
          </w:p>
        </w:tc>
        <w:tc>
          <w:tcPr>
            <w:tcW w:w="3315" w:type="dxa"/>
            <w:tcBorders>
              <w:top w:val="single" w:sz="12" w:space="0" w:color="000000"/>
            </w:tcBorders>
            <w:shd w:val="clear" w:color="auto" w:fill="FFFFFF"/>
            <w:tcMar>
              <w:top w:w="100" w:type="dxa"/>
              <w:left w:w="100" w:type="dxa"/>
              <w:bottom w:w="100" w:type="dxa"/>
              <w:right w:w="100" w:type="dxa"/>
            </w:tcMar>
          </w:tcPr>
          <w:p w14:paraId="286FF38C" w14:textId="77777777" w:rsidR="00CA2451" w:rsidRDefault="00CA2451">
            <w:pPr>
              <w:spacing w:after="240"/>
              <w:jc w:val="center"/>
            </w:pPr>
          </w:p>
          <w:p w14:paraId="69DF170D" w14:textId="77777777" w:rsidR="00CA2451" w:rsidRDefault="002040B0">
            <w:pPr>
              <w:spacing w:before="240" w:after="240"/>
              <w:jc w:val="center"/>
            </w:pPr>
            <w:r>
              <w:t>Gluten-Free Friendly</w:t>
            </w:r>
          </w:p>
        </w:tc>
        <w:tc>
          <w:tcPr>
            <w:tcW w:w="8775" w:type="dxa"/>
            <w:tcBorders>
              <w:top w:val="single" w:sz="12" w:space="0" w:color="000000"/>
            </w:tcBorders>
            <w:shd w:val="clear" w:color="auto" w:fill="FFFFFF"/>
            <w:tcMar>
              <w:top w:w="100" w:type="dxa"/>
              <w:left w:w="100" w:type="dxa"/>
              <w:bottom w:w="100" w:type="dxa"/>
              <w:right w:w="100" w:type="dxa"/>
            </w:tcMar>
          </w:tcPr>
          <w:p w14:paraId="2E843BB8" w14:textId="77777777" w:rsidR="00CA2451" w:rsidRDefault="002040B0">
            <w:pPr>
              <w:spacing w:before="240" w:after="240"/>
              <w:jc w:val="center"/>
            </w:pPr>
            <w:r>
              <w:t xml:space="preserve">Excludes all foods with any gluten-containing ingredients such as wheat, barley, or rye, or oats that are not </w:t>
            </w:r>
            <w:hyperlink r:id="rId45">
              <w:r>
                <w:rPr>
                  <w:color w:val="1155CC"/>
                  <w:u w:val="single"/>
                </w:rPr>
                <w:t>labeled gluten-free</w:t>
              </w:r>
            </w:hyperlink>
            <w:r>
              <w:t>, or any derivatives or products of gluten ingredient processing. Only fried foods that are prepared in a designated and tested gluten-free fryer will be labeled with this icon.</w:t>
            </w:r>
          </w:p>
        </w:tc>
      </w:tr>
      <w:tr w:rsidR="00CA2451" w14:paraId="697D1E7F" w14:textId="77777777" w:rsidTr="00EB197F">
        <w:trPr>
          <w:trHeight w:val="995"/>
        </w:trPr>
        <w:tc>
          <w:tcPr>
            <w:tcW w:w="1545" w:type="dxa"/>
            <w:tcBorders>
              <w:top w:val="single" w:sz="12" w:space="0" w:color="000000"/>
            </w:tcBorders>
            <w:shd w:val="clear" w:color="auto" w:fill="FFFFFF"/>
            <w:tcMar>
              <w:top w:w="100" w:type="dxa"/>
              <w:left w:w="100" w:type="dxa"/>
              <w:bottom w:w="100" w:type="dxa"/>
              <w:right w:w="100" w:type="dxa"/>
            </w:tcMar>
          </w:tcPr>
          <w:p w14:paraId="213A3187" w14:textId="77777777" w:rsidR="00CA2451" w:rsidRDefault="00CA2451">
            <w:pPr>
              <w:spacing w:before="240" w:after="240"/>
              <w:jc w:val="center"/>
            </w:pPr>
          </w:p>
          <w:p w14:paraId="508AC7F5" w14:textId="77777777" w:rsidR="00CA2451" w:rsidRDefault="002040B0">
            <w:pPr>
              <w:spacing w:before="240" w:after="240"/>
              <w:jc w:val="center"/>
            </w:pPr>
            <w:r>
              <w:rPr>
                <w:noProof/>
              </w:rPr>
              <w:drawing>
                <wp:inline distT="114300" distB="114300" distL="114300" distR="114300" wp14:anchorId="2B5490F5" wp14:editId="22F289B0">
                  <wp:extent cx="520700" cy="482600"/>
                  <wp:effectExtent l="0" t="0" r="0" b="0"/>
                  <wp:docPr id="15" name="image8.png" descr="Vegan icon"/>
                  <wp:cNvGraphicFramePr/>
                  <a:graphic xmlns:a="http://schemas.openxmlformats.org/drawingml/2006/main">
                    <a:graphicData uri="http://schemas.openxmlformats.org/drawingml/2006/picture">
                      <pic:pic xmlns:pic="http://schemas.openxmlformats.org/drawingml/2006/picture">
                        <pic:nvPicPr>
                          <pic:cNvPr id="15" name="image8.png" descr="Vegan icon"/>
                          <pic:cNvPicPr preferRelativeResize="0"/>
                        </pic:nvPicPr>
                        <pic:blipFill>
                          <a:blip r:embed="rId46"/>
                          <a:srcRect/>
                          <a:stretch>
                            <a:fillRect/>
                          </a:stretch>
                        </pic:blipFill>
                        <pic:spPr>
                          <a:xfrm>
                            <a:off x="0" y="0"/>
                            <a:ext cx="520700" cy="482600"/>
                          </a:xfrm>
                          <a:prstGeom prst="rect">
                            <a:avLst/>
                          </a:prstGeom>
                          <a:ln/>
                        </pic:spPr>
                      </pic:pic>
                    </a:graphicData>
                  </a:graphic>
                </wp:inline>
              </w:drawing>
            </w:r>
          </w:p>
        </w:tc>
        <w:tc>
          <w:tcPr>
            <w:tcW w:w="3315" w:type="dxa"/>
            <w:tcBorders>
              <w:top w:val="single" w:sz="12" w:space="0" w:color="000000"/>
            </w:tcBorders>
            <w:shd w:val="clear" w:color="auto" w:fill="FFFFFF"/>
            <w:tcMar>
              <w:top w:w="100" w:type="dxa"/>
              <w:left w:w="100" w:type="dxa"/>
              <w:bottom w:w="100" w:type="dxa"/>
              <w:right w:w="100" w:type="dxa"/>
            </w:tcMar>
          </w:tcPr>
          <w:p w14:paraId="7725D984" w14:textId="77777777" w:rsidR="00CA2451" w:rsidRDefault="00CA2451">
            <w:pPr>
              <w:spacing w:after="240"/>
              <w:jc w:val="center"/>
            </w:pPr>
          </w:p>
          <w:p w14:paraId="0216A327" w14:textId="77777777" w:rsidR="00CA2451" w:rsidRDefault="002040B0">
            <w:pPr>
              <w:spacing w:before="240" w:after="240"/>
              <w:jc w:val="center"/>
            </w:pPr>
            <w:r>
              <w:t xml:space="preserve">Vegan </w:t>
            </w:r>
          </w:p>
        </w:tc>
        <w:tc>
          <w:tcPr>
            <w:tcW w:w="8775" w:type="dxa"/>
            <w:tcBorders>
              <w:top w:val="single" w:sz="12" w:space="0" w:color="000000"/>
            </w:tcBorders>
            <w:shd w:val="clear" w:color="auto" w:fill="FFFFFF"/>
            <w:tcMar>
              <w:top w:w="100" w:type="dxa"/>
              <w:left w:w="100" w:type="dxa"/>
              <w:bottom w:w="100" w:type="dxa"/>
              <w:right w:w="100" w:type="dxa"/>
            </w:tcMar>
          </w:tcPr>
          <w:p w14:paraId="397DCEEF" w14:textId="77777777" w:rsidR="00CA2451" w:rsidRDefault="002040B0">
            <w:pPr>
              <w:spacing w:before="240" w:after="240"/>
              <w:jc w:val="center"/>
            </w:pPr>
            <w:r>
              <w:t xml:space="preserve">No meat/meat products or byproducts, including honey, animal rennet in cheese, and red dye #40. Eggs, cheese, milk, and other dairy products are </w:t>
            </w:r>
            <w:r>
              <w:rPr>
                <w:u w:val="single"/>
              </w:rPr>
              <w:t>not</w:t>
            </w:r>
            <w:r>
              <w:t xml:space="preserve"> included in this designation. Excludes white sugar processed with bone char. </w:t>
            </w:r>
          </w:p>
          <w:p w14:paraId="2A787068" w14:textId="77777777" w:rsidR="00CA2451" w:rsidRDefault="002040B0">
            <w:pPr>
              <w:spacing w:before="240" w:after="240"/>
              <w:jc w:val="center"/>
            </w:pPr>
            <w:r>
              <w:t xml:space="preserve">Note: as of the 2024 academic year, vegan foods are no longer excluded from labeling if they are fried in a shared fryer with meats or animal products. Any customers concerned about this are encouraged to inquire directly with staff working in the restaurants about the status of the fryer in the location. Inquiries about this change may be directed to </w:t>
            </w:r>
            <w:hyperlink r:id="rId47">
              <w:r>
                <w:rPr>
                  <w:color w:val="1155CC"/>
                  <w:u w:val="single"/>
                </w:rPr>
                <w:t>uhdsnutrition@oregonstate.edu</w:t>
              </w:r>
            </w:hyperlink>
            <w:r>
              <w:t>.</w:t>
            </w:r>
          </w:p>
        </w:tc>
      </w:tr>
      <w:tr w:rsidR="00CA2451" w14:paraId="0A8A3C39" w14:textId="77777777" w:rsidTr="00EB197F">
        <w:trPr>
          <w:trHeight w:val="995"/>
        </w:trPr>
        <w:tc>
          <w:tcPr>
            <w:tcW w:w="1545" w:type="dxa"/>
            <w:tcBorders>
              <w:top w:val="single" w:sz="12" w:space="0" w:color="000000"/>
            </w:tcBorders>
            <w:shd w:val="clear" w:color="auto" w:fill="FFFFFF"/>
            <w:tcMar>
              <w:top w:w="100" w:type="dxa"/>
              <w:left w:w="100" w:type="dxa"/>
              <w:bottom w:w="100" w:type="dxa"/>
              <w:right w:w="100" w:type="dxa"/>
            </w:tcMar>
          </w:tcPr>
          <w:p w14:paraId="0007CA61" w14:textId="77777777" w:rsidR="00CA2451" w:rsidRDefault="002040B0">
            <w:pPr>
              <w:spacing w:before="240" w:after="240"/>
              <w:jc w:val="center"/>
            </w:pPr>
            <w:r>
              <w:rPr>
                <w:noProof/>
              </w:rPr>
              <w:drawing>
                <wp:inline distT="114300" distB="114300" distL="114300" distR="114300" wp14:anchorId="3AF033E4" wp14:editId="3FC8B47D">
                  <wp:extent cx="482600" cy="482600"/>
                  <wp:effectExtent l="0" t="0" r="0" b="0"/>
                  <wp:docPr id="4" name="image14.png" descr="Vegetarian icon"/>
                  <wp:cNvGraphicFramePr/>
                  <a:graphic xmlns:a="http://schemas.openxmlformats.org/drawingml/2006/main">
                    <a:graphicData uri="http://schemas.openxmlformats.org/drawingml/2006/picture">
                      <pic:pic xmlns:pic="http://schemas.openxmlformats.org/drawingml/2006/picture">
                        <pic:nvPicPr>
                          <pic:cNvPr id="4" name="image14.png" descr="Vegetarian icon"/>
                          <pic:cNvPicPr preferRelativeResize="0"/>
                        </pic:nvPicPr>
                        <pic:blipFill>
                          <a:blip r:embed="rId48"/>
                          <a:srcRect/>
                          <a:stretch>
                            <a:fillRect/>
                          </a:stretch>
                        </pic:blipFill>
                        <pic:spPr>
                          <a:xfrm>
                            <a:off x="0" y="0"/>
                            <a:ext cx="482600" cy="482600"/>
                          </a:xfrm>
                          <a:prstGeom prst="rect">
                            <a:avLst/>
                          </a:prstGeom>
                          <a:ln/>
                        </pic:spPr>
                      </pic:pic>
                    </a:graphicData>
                  </a:graphic>
                </wp:inline>
              </w:drawing>
            </w:r>
          </w:p>
        </w:tc>
        <w:tc>
          <w:tcPr>
            <w:tcW w:w="3315" w:type="dxa"/>
            <w:tcBorders>
              <w:top w:val="single" w:sz="12" w:space="0" w:color="000000"/>
            </w:tcBorders>
            <w:shd w:val="clear" w:color="auto" w:fill="FFFFFF"/>
            <w:tcMar>
              <w:top w:w="100" w:type="dxa"/>
              <w:left w:w="100" w:type="dxa"/>
              <w:bottom w:w="100" w:type="dxa"/>
              <w:right w:w="100" w:type="dxa"/>
            </w:tcMar>
          </w:tcPr>
          <w:p w14:paraId="45EB8F5B" w14:textId="77777777" w:rsidR="00CA2451" w:rsidRDefault="00CA2451">
            <w:pPr>
              <w:spacing w:after="240"/>
              <w:jc w:val="center"/>
            </w:pPr>
          </w:p>
          <w:p w14:paraId="78E75EAA" w14:textId="77777777" w:rsidR="00CA2451" w:rsidRDefault="002040B0">
            <w:pPr>
              <w:spacing w:before="240" w:after="240"/>
              <w:jc w:val="center"/>
            </w:pPr>
            <w:r>
              <w:t>Vegetarian</w:t>
            </w:r>
          </w:p>
        </w:tc>
        <w:tc>
          <w:tcPr>
            <w:tcW w:w="8775" w:type="dxa"/>
            <w:tcBorders>
              <w:top w:val="single" w:sz="12" w:space="0" w:color="000000"/>
            </w:tcBorders>
            <w:shd w:val="clear" w:color="auto" w:fill="FFFFFF"/>
            <w:tcMar>
              <w:top w:w="100" w:type="dxa"/>
              <w:left w:w="100" w:type="dxa"/>
              <w:bottom w:w="100" w:type="dxa"/>
              <w:right w:w="100" w:type="dxa"/>
            </w:tcMar>
          </w:tcPr>
          <w:p w14:paraId="5F27879B" w14:textId="77777777" w:rsidR="00CA2451" w:rsidRDefault="002040B0">
            <w:pPr>
              <w:spacing w:before="240" w:after="240"/>
              <w:jc w:val="center"/>
            </w:pPr>
            <w:r>
              <w:t>No meat/meat products. Eggs, cheese, milk and other dairy products are still included.</w:t>
            </w:r>
          </w:p>
        </w:tc>
      </w:tr>
      <w:tr w:rsidR="00CA2451" w14:paraId="721C7F16" w14:textId="77777777" w:rsidTr="00EB197F">
        <w:trPr>
          <w:trHeight w:val="995"/>
        </w:trPr>
        <w:tc>
          <w:tcPr>
            <w:tcW w:w="1545" w:type="dxa"/>
            <w:tcBorders>
              <w:top w:val="single" w:sz="12" w:space="0" w:color="000000"/>
            </w:tcBorders>
            <w:shd w:val="clear" w:color="auto" w:fill="FFFFFF"/>
            <w:tcMar>
              <w:top w:w="100" w:type="dxa"/>
              <w:left w:w="100" w:type="dxa"/>
              <w:bottom w:w="100" w:type="dxa"/>
              <w:right w:w="100" w:type="dxa"/>
            </w:tcMar>
          </w:tcPr>
          <w:p w14:paraId="7435144C" w14:textId="77777777" w:rsidR="00CA2451" w:rsidRDefault="00CA2451">
            <w:pPr>
              <w:spacing w:before="240" w:after="240"/>
              <w:jc w:val="center"/>
            </w:pPr>
          </w:p>
          <w:p w14:paraId="33588D4A" w14:textId="77777777" w:rsidR="00CA2451" w:rsidRDefault="002040B0">
            <w:pPr>
              <w:spacing w:before="240" w:after="240"/>
              <w:jc w:val="center"/>
            </w:pPr>
            <w:r>
              <w:rPr>
                <w:noProof/>
              </w:rPr>
              <w:drawing>
                <wp:inline distT="114300" distB="114300" distL="114300" distR="114300" wp14:anchorId="1FAA49F1" wp14:editId="09D629BF">
                  <wp:extent cx="520700" cy="482600"/>
                  <wp:effectExtent l="0" t="0" r="0" b="0"/>
                  <wp:docPr id="16" name="image2.png" descr="Halal icon"/>
                  <wp:cNvGraphicFramePr/>
                  <a:graphic xmlns:a="http://schemas.openxmlformats.org/drawingml/2006/main">
                    <a:graphicData uri="http://schemas.openxmlformats.org/drawingml/2006/picture">
                      <pic:pic xmlns:pic="http://schemas.openxmlformats.org/drawingml/2006/picture">
                        <pic:nvPicPr>
                          <pic:cNvPr id="16" name="image2.png" descr="Halal icon"/>
                          <pic:cNvPicPr preferRelativeResize="0"/>
                        </pic:nvPicPr>
                        <pic:blipFill>
                          <a:blip r:embed="rId49"/>
                          <a:srcRect/>
                          <a:stretch>
                            <a:fillRect/>
                          </a:stretch>
                        </pic:blipFill>
                        <pic:spPr>
                          <a:xfrm>
                            <a:off x="0" y="0"/>
                            <a:ext cx="520700" cy="482600"/>
                          </a:xfrm>
                          <a:prstGeom prst="rect">
                            <a:avLst/>
                          </a:prstGeom>
                          <a:ln/>
                        </pic:spPr>
                      </pic:pic>
                    </a:graphicData>
                  </a:graphic>
                </wp:inline>
              </w:drawing>
            </w:r>
          </w:p>
        </w:tc>
        <w:tc>
          <w:tcPr>
            <w:tcW w:w="3315" w:type="dxa"/>
            <w:tcBorders>
              <w:top w:val="single" w:sz="12" w:space="0" w:color="000000"/>
            </w:tcBorders>
            <w:shd w:val="clear" w:color="auto" w:fill="FFFFFF"/>
            <w:tcMar>
              <w:top w:w="100" w:type="dxa"/>
              <w:left w:w="100" w:type="dxa"/>
              <w:bottom w:w="100" w:type="dxa"/>
              <w:right w:w="100" w:type="dxa"/>
            </w:tcMar>
          </w:tcPr>
          <w:p w14:paraId="67311617" w14:textId="77777777" w:rsidR="00CA2451" w:rsidRDefault="00CA2451">
            <w:pPr>
              <w:spacing w:after="240"/>
              <w:jc w:val="center"/>
            </w:pPr>
          </w:p>
          <w:p w14:paraId="612951C3" w14:textId="77777777" w:rsidR="00CA2451" w:rsidRDefault="002040B0">
            <w:pPr>
              <w:spacing w:before="240" w:after="240"/>
              <w:jc w:val="center"/>
            </w:pPr>
            <w:r>
              <w:t>Halal</w:t>
            </w:r>
          </w:p>
        </w:tc>
        <w:tc>
          <w:tcPr>
            <w:tcW w:w="8775" w:type="dxa"/>
            <w:tcBorders>
              <w:top w:val="single" w:sz="12" w:space="0" w:color="000000"/>
            </w:tcBorders>
            <w:shd w:val="clear" w:color="auto" w:fill="FFFFFF"/>
            <w:tcMar>
              <w:top w:w="100" w:type="dxa"/>
              <w:left w:w="100" w:type="dxa"/>
              <w:bottom w:w="100" w:type="dxa"/>
              <w:right w:w="100" w:type="dxa"/>
            </w:tcMar>
          </w:tcPr>
          <w:p w14:paraId="093284C7" w14:textId="77777777" w:rsidR="00CA2451" w:rsidRDefault="002040B0">
            <w:pPr>
              <w:spacing w:before="240" w:after="240"/>
              <w:jc w:val="center"/>
            </w:pPr>
            <w:r>
              <w:t xml:space="preserve">No pork or alcohol. Halal-labeled foods exclude products that are derived from any of the following: pork gelatin (including marshmallow), wine vinegars (including balsamic), natural vanilla extract, flavoring extracts (i.e. almond extract), and many chocolates that contain vanilla extract. Additionally, soy sauce and other ingredients containing yeast extract from the alcohol brewing process are not designated halal. No meats, except seafood, are designated halal unless from a halal-certified source. Also excludes items that are prepared in a shared fryer with other non-halal meats. </w:t>
            </w:r>
          </w:p>
        </w:tc>
      </w:tr>
      <w:tr w:rsidR="00CA2451" w14:paraId="4BB43AF1" w14:textId="77777777" w:rsidTr="00EB197F">
        <w:trPr>
          <w:trHeight w:val="995"/>
        </w:trPr>
        <w:tc>
          <w:tcPr>
            <w:tcW w:w="1545" w:type="dxa"/>
            <w:tcBorders>
              <w:top w:val="single" w:sz="12" w:space="0" w:color="000000"/>
            </w:tcBorders>
            <w:shd w:val="clear" w:color="auto" w:fill="FFFFFF"/>
            <w:tcMar>
              <w:top w:w="100" w:type="dxa"/>
              <w:left w:w="100" w:type="dxa"/>
              <w:bottom w:w="100" w:type="dxa"/>
              <w:right w:w="100" w:type="dxa"/>
            </w:tcMar>
          </w:tcPr>
          <w:p w14:paraId="4A44630E" w14:textId="77777777" w:rsidR="00CA2451" w:rsidRDefault="002040B0">
            <w:pPr>
              <w:spacing w:before="240" w:after="240"/>
              <w:jc w:val="center"/>
            </w:pPr>
            <w:r>
              <w:rPr>
                <w:noProof/>
              </w:rPr>
              <w:drawing>
                <wp:inline distT="114300" distB="114300" distL="114300" distR="114300" wp14:anchorId="481A28B0" wp14:editId="128BD02F">
                  <wp:extent cx="482600" cy="482600"/>
                  <wp:effectExtent l="0" t="0" r="0" b="0"/>
                  <wp:docPr id="9" name="image6.png" descr="Egg allergen icon"/>
                  <wp:cNvGraphicFramePr/>
                  <a:graphic xmlns:a="http://schemas.openxmlformats.org/drawingml/2006/main">
                    <a:graphicData uri="http://schemas.openxmlformats.org/drawingml/2006/picture">
                      <pic:pic xmlns:pic="http://schemas.openxmlformats.org/drawingml/2006/picture">
                        <pic:nvPicPr>
                          <pic:cNvPr id="9" name="image6.png" descr="Egg allergen icon"/>
                          <pic:cNvPicPr preferRelativeResize="0"/>
                        </pic:nvPicPr>
                        <pic:blipFill>
                          <a:blip r:embed="rId50"/>
                          <a:srcRect/>
                          <a:stretch>
                            <a:fillRect/>
                          </a:stretch>
                        </pic:blipFill>
                        <pic:spPr>
                          <a:xfrm>
                            <a:off x="0" y="0"/>
                            <a:ext cx="482600" cy="482600"/>
                          </a:xfrm>
                          <a:prstGeom prst="rect">
                            <a:avLst/>
                          </a:prstGeom>
                          <a:ln/>
                        </pic:spPr>
                      </pic:pic>
                    </a:graphicData>
                  </a:graphic>
                </wp:inline>
              </w:drawing>
            </w:r>
          </w:p>
        </w:tc>
        <w:tc>
          <w:tcPr>
            <w:tcW w:w="3315" w:type="dxa"/>
            <w:tcBorders>
              <w:top w:val="single" w:sz="12" w:space="0" w:color="000000"/>
            </w:tcBorders>
            <w:shd w:val="clear" w:color="auto" w:fill="FFFFFF"/>
            <w:tcMar>
              <w:top w:w="100" w:type="dxa"/>
              <w:left w:w="100" w:type="dxa"/>
              <w:bottom w:w="100" w:type="dxa"/>
              <w:right w:w="100" w:type="dxa"/>
            </w:tcMar>
          </w:tcPr>
          <w:p w14:paraId="3C98F7DD" w14:textId="77777777" w:rsidR="00CA2451" w:rsidRDefault="00CA2451">
            <w:pPr>
              <w:spacing w:after="240"/>
              <w:jc w:val="center"/>
            </w:pPr>
          </w:p>
          <w:p w14:paraId="5369A2B7" w14:textId="77777777" w:rsidR="00CA2451" w:rsidRDefault="002040B0">
            <w:pPr>
              <w:spacing w:before="240" w:after="240"/>
              <w:jc w:val="center"/>
            </w:pPr>
            <w:r>
              <w:t>Eggs</w:t>
            </w:r>
          </w:p>
        </w:tc>
        <w:tc>
          <w:tcPr>
            <w:tcW w:w="8775" w:type="dxa"/>
            <w:tcBorders>
              <w:top w:val="single" w:sz="12" w:space="0" w:color="000000"/>
            </w:tcBorders>
            <w:shd w:val="clear" w:color="auto" w:fill="FFFFFF"/>
            <w:tcMar>
              <w:top w:w="100" w:type="dxa"/>
              <w:left w:w="100" w:type="dxa"/>
              <w:bottom w:w="100" w:type="dxa"/>
              <w:right w:w="100" w:type="dxa"/>
            </w:tcMar>
          </w:tcPr>
          <w:p w14:paraId="1694209F" w14:textId="77777777" w:rsidR="00CA2451" w:rsidRDefault="002040B0">
            <w:pPr>
              <w:spacing w:before="240" w:after="240"/>
              <w:jc w:val="center"/>
            </w:pPr>
            <w:r>
              <w:t>Whole eggs, egg whites, egg yolks, egg powder, mayonnaise, albumin, globulin, lecithin, lysozyme, ovalbumin, ovovitellin, and other byproducts or derivatives.</w:t>
            </w:r>
          </w:p>
        </w:tc>
      </w:tr>
      <w:tr w:rsidR="00CA2451" w14:paraId="4979D0DF" w14:textId="77777777" w:rsidTr="00EB197F">
        <w:trPr>
          <w:trHeight w:val="995"/>
        </w:trPr>
        <w:tc>
          <w:tcPr>
            <w:tcW w:w="1545" w:type="dxa"/>
            <w:tcBorders>
              <w:top w:val="single" w:sz="12" w:space="0" w:color="000000"/>
            </w:tcBorders>
            <w:shd w:val="clear" w:color="auto" w:fill="FFFFFF"/>
            <w:tcMar>
              <w:top w:w="100" w:type="dxa"/>
              <w:left w:w="100" w:type="dxa"/>
              <w:bottom w:w="100" w:type="dxa"/>
              <w:right w:w="100" w:type="dxa"/>
            </w:tcMar>
          </w:tcPr>
          <w:p w14:paraId="5C461ED1" w14:textId="77777777" w:rsidR="00CA2451" w:rsidRDefault="002040B0">
            <w:pPr>
              <w:spacing w:before="240" w:after="240"/>
              <w:jc w:val="center"/>
            </w:pPr>
            <w:r>
              <w:rPr>
                <w:noProof/>
              </w:rPr>
              <w:drawing>
                <wp:inline distT="114300" distB="114300" distL="114300" distR="114300" wp14:anchorId="0D9BB05C" wp14:editId="63156C9C">
                  <wp:extent cx="635000" cy="482600"/>
                  <wp:effectExtent l="0" t="0" r="0" b="0"/>
                  <wp:docPr id="5" name="image4.png" descr="Fish allergen icon"/>
                  <wp:cNvGraphicFramePr/>
                  <a:graphic xmlns:a="http://schemas.openxmlformats.org/drawingml/2006/main">
                    <a:graphicData uri="http://schemas.openxmlformats.org/drawingml/2006/picture">
                      <pic:pic xmlns:pic="http://schemas.openxmlformats.org/drawingml/2006/picture">
                        <pic:nvPicPr>
                          <pic:cNvPr id="5" name="image4.png" descr="Fish allergen icon"/>
                          <pic:cNvPicPr preferRelativeResize="0"/>
                        </pic:nvPicPr>
                        <pic:blipFill>
                          <a:blip r:embed="rId51"/>
                          <a:srcRect/>
                          <a:stretch>
                            <a:fillRect/>
                          </a:stretch>
                        </pic:blipFill>
                        <pic:spPr>
                          <a:xfrm>
                            <a:off x="0" y="0"/>
                            <a:ext cx="635000" cy="482600"/>
                          </a:xfrm>
                          <a:prstGeom prst="rect">
                            <a:avLst/>
                          </a:prstGeom>
                          <a:ln/>
                        </pic:spPr>
                      </pic:pic>
                    </a:graphicData>
                  </a:graphic>
                </wp:inline>
              </w:drawing>
            </w:r>
          </w:p>
        </w:tc>
        <w:tc>
          <w:tcPr>
            <w:tcW w:w="3315" w:type="dxa"/>
            <w:tcBorders>
              <w:top w:val="single" w:sz="12" w:space="0" w:color="000000"/>
            </w:tcBorders>
            <w:shd w:val="clear" w:color="auto" w:fill="FFFFFF"/>
            <w:tcMar>
              <w:top w:w="100" w:type="dxa"/>
              <w:left w:w="100" w:type="dxa"/>
              <w:bottom w:w="100" w:type="dxa"/>
              <w:right w:w="100" w:type="dxa"/>
            </w:tcMar>
          </w:tcPr>
          <w:p w14:paraId="09192E04" w14:textId="77777777" w:rsidR="00CA2451" w:rsidRDefault="00CA2451">
            <w:pPr>
              <w:spacing w:after="240"/>
              <w:jc w:val="center"/>
            </w:pPr>
          </w:p>
          <w:p w14:paraId="26070D1F" w14:textId="77777777" w:rsidR="00CA2451" w:rsidRDefault="002040B0">
            <w:pPr>
              <w:spacing w:before="240" w:after="240"/>
              <w:jc w:val="center"/>
            </w:pPr>
            <w:r>
              <w:t>Fish</w:t>
            </w:r>
          </w:p>
        </w:tc>
        <w:tc>
          <w:tcPr>
            <w:tcW w:w="8775" w:type="dxa"/>
            <w:tcBorders>
              <w:top w:val="single" w:sz="12" w:space="0" w:color="000000"/>
            </w:tcBorders>
            <w:shd w:val="clear" w:color="auto" w:fill="FFFFFF"/>
            <w:tcMar>
              <w:top w:w="100" w:type="dxa"/>
              <w:left w:w="100" w:type="dxa"/>
              <w:bottom w:w="100" w:type="dxa"/>
              <w:right w:w="100" w:type="dxa"/>
            </w:tcMar>
          </w:tcPr>
          <w:p w14:paraId="778F248B" w14:textId="77777777" w:rsidR="00CA2451" w:rsidRDefault="002040B0">
            <w:pPr>
              <w:spacing w:before="240" w:after="240"/>
              <w:jc w:val="center"/>
            </w:pPr>
            <w:r>
              <w:t>Anchovies, bass, catfish, cod, flounder, grouper, haddock, hake, halibut, herring, mahi mahi, perch, pike, pollock, salmon, scrod, sole, snapper, swordfish, tilapia, trout, tuna, fish sauce, fish flavoring, fish gelatin, fish oil, fish sticks, or other byproducts or derivatives.</w:t>
            </w:r>
          </w:p>
        </w:tc>
      </w:tr>
      <w:tr w:rsidR="00CA2451" w14:paraId="1E5F91D8" w14:textId="77777777" w:rsidTr="00EB197F">
        <w:trPr>
          <w:trHeight w:val="995"/>
        </w:trPr>
        <w:tc>
          <w:tcPr>
            <w:tcW w:w="1545" w:type="dxa"/>
            <w:shd w:val="clear" w:color="auto" w:fill="FFFFFF"/>
            <w:tcMar>
              <w:top w:w="100" w:type="dxa"/>
              <w:left w:w="100" w:type="dxa"/>
              <w:bottom w:w="100" w:type="dxa"/>
              <w:right w:w="100" w:type="dxa"/>
            </w:tcMar>
          </w:tcPr>
          <w:p w14:paraId="614ED5E6" w14:textId="77777777" w:rsidR="00CA2451" w:rsidRDefault="002040B0">
            <w:pPr>
              <w:spacing w:before="240" w:after="240"/>
              <w:jc w:val="center"/>
            </w:pPr>
            <w:r>
              <w:rPr>
                <w:noProof/>
              </w:rPr>
              <w:drawing>
                <wp:inline distT="114300" distB="114300" distL="114300" distR="114300" wp14:anchorId="5113345B" wp14:editId="7AD5FDF9">
                  <wp:extent cx="533400" cy="482600"/>
                  <wp:effectExtent l="0" t="0" r="0" b="0"/>
                  <wp:docPr id="8" name="image7.png" descr="What allergen icon"/>
                  <wp:cNvGraphicFramePr/>
                  <a:graphic xmlns:a="http://schemas.openxmlformats.org/drawingml/2006/main">
                    <a:graphicData uri="http://schemas.openxmlformats.org/drawingml/2006/picture">
                      <pic:pic xmlns:pic="http://schemas.openxmlformats.org/drawingml/2006/picture">
                        <pic:nvPicPr>
                          <pic:cNvPr id="8" name="image7.png" descr="What allergen icon"/>
                          <pic:cNvPicPr preferRelativeResize="0"/>
                        </pic:nvPicPr>
                        <pic:blipFill>
                          <a:blip r:embed="rId52"/>
                          <a:srcRect/>
                          <a:stretch>
                            <a:fillRect/>
                          </a:stretch>
                        </pic:blipFill>
                        <pic:spPr>
                          <a:xfrm>
                            <a:off x="0" y="0"/>
                            <a:ext cx="533400" cy="482600"/>
                          </a:xfrm>
                          <a:prstGeom prst="rect">
                            <a:avLst/>
                          </a:prstGeom>
                          <a:ln/>
                        </pic:spPr>
                      </pic:pic>
                    </a:graphicData>
                  </a:graphic>
                </wp:inline>
              </w:drawing>
            </w:r>
          </w:p>
        </w:tc>
        <w:tc>
          <w:tcPr>
            <w:tcW w:w="3315" w:type="dxa"/>
            <w:shd w:val="clear" w:color="auto" w:fill="FFFFFF"/>
            <w:tcMar>
              <w:top w:w="100" w:type="dxa"/>
              <w:left w:w="100" w:type="dxa"/>
              <w:bottom w:w="100" w:type="dxa"/>
              <w:right w:w="100" w:type="dxa"/>
            </w:tcMar>
          </w:tcPr>
          <w:p w14:paraId="2870BF0F" w14:textId="77777777" w:rsidR="00CA2451" w:rsidRDefault="00CA2451">
            <w:pPr>
              <w:spacing w:after="240"/>
              <w:jc w:val="center"/>
            </w:pPr>
          </w:p>
          <w:p w14:paraId="085E6883" w14:textId="77777777" w:rsidR="00CA2451" w:rsidRDefault="002040B0">
            <w:pPr>
              <w:spacing w:before="240" w:after="240"/>
              <w:jc w:val="center"/>
            </w:pPr>
            <w:r>
              <w:t>Wheat</w:t>
            </w:r>
          </w:p>
        </w:tc>
        <w:tc>
          <w:tcPr>
            <w:tcW w:w="8775" w:type="dxa"/>
            <w:shd w:val="clear" w:color="auto" w:fill="FFFFFF"/>
            <w:tcMar>
              <w:top w:w="100" w:type="dxa"/>
              <w:left w:w="100" w:type="dxa"/>
              <w:bottom w:w="100" w:type="dxa"/>
              <w:right w:w="100" w:type="dxa"/>
            </w:tcMar>
          </w:tcPr>
          <w:p w14:paraId="28DC16B3" w14:textId="77777777" w:rsidR="00CA2451" w:rsidRDefault="002040B0">
            <w:pPr>
              <w:spacing w:before="240" w:after="240"/>
              <w:jc w:val="center"/>
            </w:pPr>
            <w:r>
              <w:t xml:space="preserve">Wheat flour, wheat bran, wheat durum, wheat germ, wheat gluten, wheat grass, wheat malt, wheat sprouts, wheat starch.  Note: Buckwheat does </w:t>
            </w:r>
            <w:r>
              <w:rPr>
                <w:u w:val="single"/>
              </w:rPr>
              <w:t>not</w:t>
            </w:r>
            <w:r>
              <w:t xml:space="preserve"> contain wheat or gluten.</w:t>
            </w:r>
          </w:p>
        </w:tc>
      </w:tr>
      <w:tr w:rsidR="00CA2451" w14:paraId="48E0E1C7" w14:textId="77777777" w:rsidTr="00EB197F">
        <w:trPr>
          <w:trHeight w:val="995"/>
        </w:trPr>
        <w:tc>
          <w:tcPr>
            <w:tcW w:w="1545" w:type="dxa"/>
            <w:shd w:val="clear" w:color="auto" w:fill="FFFFFF"/>
            <w:tcMar>
              <w:top w:w="100" w:type="dxa"/>
              <w:left w:w="100" w:type="dxa"/>
              <w:bottom w:w="100" w:type="dxa"/>
              <w:right w:w="100" w:type="dxa"/>
            </w:tcMar>
          </w:tcPr>
          <w:p w14:paraId="536AC384" w14:textId="77777777" w:rsidR="00CA2451" w:rsidRDefault="002040B0">
            <w:pPr>
              <w:spacing w:before="240" w:after="240"/>
              <w:jc w:val="center"/>
            </w:pPr>
            <w:r>
              <w:rPr>
                <w:noProof/>
              </w:rPr>
              <w:lastRenderedPageBreak/>
              <w:drawing>
                <wp:inline distT="114300" distB="114300" distL="114300" distR="114300" wp14:anchorId="06E1645F" wp14:editId="44180159">
                  <wp:extent cx="381000" cy="482600"/>
                  <wp:effectExtent l="0" t="0" r="0" b="0"/>
                  <wp:docPr id="10" name="image9.png" descr="Dairy allergen icon"/>
                  <wp:cNvGraphicFramePr/>
                  <a:graphic xmlns:a="http://schemas.openxmlformats.org/drawingml/2006/main">
                    <a:graphicData uri="http://schemas.openxmlformats.org/drawingml/2006/picture">
                      <pic:pic xmlns:pic="http://schemas.openxmlformats.org/drawingml/2006/picture">
                        <pic:nvPicPr>
                          <pic:cNvPr id="10" name="image9.png" descr="Dairy allergen icon"/>
                          <pic:cNvPicPr preferRelativeResize="0"/>
                        </pic:nvPicPr>
                        <pic:blipFill>
                          <a:blip r:embed="rId53"/>
                          <a:srcRect/>
                          <a:stretch>
                            <a:fillRect/>
                          </a:stretch>
                        </pic:blipFill>
                        <pic:spPr>
                          <a:xfrm>
                            <a:off x="0" y="0"/>
                            <a:ext cx="381000" cy="482600"/>
                          </a:xfrm>
                          <a:prstGeom prst="rect">
                            <a:avLst/>
                          </a:prstGeom>
                          <a:ln/>
                        </pic:spPr>
                      </pic:pic>
                    </a:graphicData>
                  </a:graphic>
                </wp:inline>
              </w:drawing>
            </w:r>
          </w:p>
        </w:tc>
        <w:tc>
          <w:tcPr>
            <w:tcW w:w="3315" w:type="dxa"/>
            <w:shd w:val="clear" w:color="auto" w:fill="FFFFFF"/>
            <w:tcMar>
              <w:top w:w="100" w:type="dxa"/>
              <w:left w:w="100" w:type="dxa"/>
              <w:bottom w:w="100" w:type="dxa"/>
              <w:right w:w="100" w:type="dxa"/>
            </w:tcMar>
          </w:tcPr>
          <w:p w14:paraId="41DB73B2" w14:textId="77777777" w:rsidR="00CA2451" w:rsidRDefault="00CA2451">
            <w:pPr>
              <w:spacing w:after="240"/>
              <w:jc w:val="center"/>
            </w:pPr>
          </w:p>
          <w:p w14:paraId="1AF25E37" w14:textId="77777777" w:rsidR="00CA2451" w:rsidRDefault="002040B0">
            <w:pPr>
              <w:spacing w:before="240" w:after="240"/>
              <w:jc w:val="center"/>
            </w:pPr>
            <w:r>
              <w:t>Dairy</w:t>
            </w:r>
          </w:p>
        </w:tc>
        <w:tc>
          <w:tcPr>
            <w:tcW w:w="8775" w:type="dxa"/>
            <w:shd w:val="clear" w:color="auto" w:fill="FFFFFF"/>
            <w:tcMar>
              <w:top w:w="100" w:type="dxa"/>
              <w:left w:w="100" w:type="dxa"/>
              <w:bottom w:w="100" w:type="dxa"/>
              <w:right w:w="100" w:type="dxa"/>
            </w:tcMar>
          </w:tcPr>
          <w:p w14:paraId="5F1522B2" w14:textId="77777777" w:rsidR="00CA2451" w:rsidRDefault="002040B0">
            <w:pPr>
              <w:spacing w:before="240" w:after="240"/>
              <w:jc w:val="center"/>
            </w:pPr>
            <w:r>
              <w:t>Milk, cream, half &amp; half, yogurt, cheese, butter, whey, cream cheese, sour cream, lactose (lacto-), ice cream, casein, dry milk powder, ghee, nougat, paneer, goat or sheep milk/cheese, pudding, whipped cream/topping, or other products or derivatives.</w:t>
            </w:r>
          </w:p>
        </w:tc>
      </w:tr>
      <w:tr w:rsidR="00CA2451" w14:paraId="7E72AD7D" w14:textId="77777777" w:rsidTr="00EB197F">
        <w:trPr>
          <w:trHeight w:val="995"/>
        </w:trPr>
        <w:tc>
          <w:tcPr>
            <w:tcW w:w="1545" w:type="dxa"/>
            <w:shd w:val="clear" w:color="auto" w:fill="FFFFFF"/>
            <w:tcMar>
              <w:top w:w="100" w:type="dxa"/>
              <w:left w:w="100" w:type="dxa"/>
              <w:bottom w:w="100" w:type="dxa"/>
              <w:right w:w="100" w:type="dxa"/>
            </w:tcMar>
          </w:tcPr>
          <w:p w14:paraId="76426455" w14:textId="77777777" w:rsidR="00CA2451" w:rsidRDefault="002040B0">
            <w:pPr>
              <w:spacing w:before="240" w:after="240"/>
              <w:jc w:val="center"/>
            </w:pPr>
            <w:r>
              <w:rPr>
                <w:noProof/>
              </w:rPr>
              <w:drawing>
                <wp:inline distT="114300" distB="114300" distL="114300" distR="114300" wp14:anchorId="5F6619E1" wp14:editId="0E448969">
                  <wp:extent cx="546100" cy="482600"/>
                  <wp:effectExtent l="0" t="0" r="0" b="0"/>
                  <wp:docPr id="1" name="image10.png" descr="Sesame allergen icon"/>
                  <wp:cNvGraphicFramePr/>
                  <a:graphic xmlns:a="http://schemas.openxmlformats.org/drawingml/2006/main">
                    <a:graphicData uri="http://schemas.openxmlformats.org/drawingml/2006/picture">
                      <pic:pic xmlns:pic="http://schemas.openxmlformats.org/drawingml/2006/picture">
                        <pic:nvPicPr>
                          <pic:cNvPr id="1" name="image10.png" descr="Sesame allergen icon"/>
                          <pic:cNvPicPr preferRelativeResize="0"/>
                        </pic:nvPicPr>
                        <pic:blipFill>
                          <a:blip r:embed="rId54"/>
                          <a:srcRect/>
                          <a:stretch>
                            <a:fillRect/>
                          </a:stretch>
                        </pic:blipFill>
                        <pic:spPr>
                          <a:xfrm>
                            <a:off x="0" y="0"/>
                            <a:ext cx="546100" cy="482600"/>
                          </a:xfrm>
                          <a:prstGeom prst="rect">
                            <a:avLst/>
                          </a:prstGeom>
                          <a:ln/>
                        </pic:spPr>
                      </pic:pic>
                    </a:graphicData>
                  </a:graphic>
                </wp:inline>
              </w:drawing>
            </w:r>
          </w:p>
        </w:tc>
        <w:tc>
          <w:tcPr>
            <w:tcW w:w="3315" w:type="dxa"/>
            <w:shd w:val="clear" w:color="auto" w:fill="FFFFFF"/>
            <w:tcMar>
              <w:top w:w="100" w:type="dxa"/>
              <w:left w:w="100" w:type="dxa"/>
              <w:bottom w:w="100" w:type="dxa"/>
              <w:right w:w="100" w:type="dxa"/>
            </w:tcMar>
          </w:tcPr>
          <w:p w14:paraId="6C10174C" w14:textId="77777777" w:rsidR="00CA2451" w:rsidRDefault="00CA2451">
            <w:pPr>
              <w:spacing w:after="240"/>
              <w:jc w:val="center"/>
            </w:pPr>
          </w:p>
          <w:p w14:paraId="405AB9B8" w14:textId="77777777" w:rsidR="00CA2451" w:rsidRDefault="002040B0">
            <w:pPr>
              <w:spacing w:before="240" w:after="240"/>
              <w:jc w:val="center"/>
            </w:pPr>
            <w:r>
              <w:t>Sesame</w:t>
            </w:r>
          </w:p>
        </w:tc>
        <w:tc>
          <w:tcPr>
            <w:tcW w:w="8775" w:type="dxa"/>
            <w:shd w:val="clear" w:color="auto" w:fill="FFFFFF"/>
            <w:tcMar>
              <w:top w:w="100" w:type="dxa"/>
              <w:left w:w="100" w:type="dxa"/>
              <w:bottom w:w="100" w:type="dxa"/>
              <w:right w:w="100" w:type="dxa"/>
            </w:tcMar>
          </w:tcPr>
          <w:p w14:paraId="73938C1A" w14:textId="77777777" w:rsidR="00CA2451" w:rsidRDefault="002040B0">
            <w:pPr>
              <w:spacing w:before="240" w:after="240"/>
              <w:jc w:val="center"/>
            </w:pPr>
            <w:r>
              <w:t>Sesame seeds, sesame oil, sesame flour, sesame paste, sesame salt, tahini, halvah, some hummus recipes, benne/benne seed, or other products.</w:t>
            </w:r>
          </w:p>
        </w:tc>
      </w:tr>
      <w:tr w:rsidR="00CA2451" w14:paraId="75BCD4CA" w14:textId="77777777" w:rsidTr="00EB197F">
        <w:trPr>
          <w:trHeight w:val="995"/>
        </w:trPr>
        <w:tc>
          <w:tcPr>
            <w:tcW w:w="1545" w:type="dxa"/>
            <w:shd w:val="clear" w:color="auto" w:fill="FFFFFF"/>
            <w:tcMar>
              <w:top w:w="100" w:type="dxa"/>
              <w:left w:w="100" w:type="dxa"/>
              <w:bottom w:w="100" w:type="dxa"/>
              <w:right w:w="100" w:type="dxa"/>
            </w:tcMar>
          </w:tcPr>
          <w:p w14:paraId="107691EB" w14:textId="77777777" w:rsidR="00CA2451" w:rsidRDefault="002040B0">
            <w:pPr>
              <w:spacing w:before="240" w:after="240"/>
              <w:jc w:val="center"/>
            </w:pPr>
            <w:r>
              <w:rPr>
                <w:noProof/>
              </w:rPr>
              <w:drawing>
                <wp:inline distT="114300" distB="114300" distL="114300" distR="114300" wp14:anchorId="55E70E45" wp14:editId="7B25C8FD">
                  <wp:extent cx="609600" cy="482600"/>
                  <wp:effectExtent l="0" t="0" r="0" b="0"/>
                  <wp:docPr id="3" name="image12.png" descr="Peanut allergen icon"/>
                  <wp:cNvGraphicFramePr/>
                  <a:graphic xmlns:a="http://schemas.openxmlformats.org/drawingml/2006/main">
                    <a:graphicData uri="http://schemas.openxmlformats.org/drawingml/2006/picture">
                      <pic:pic xmlns:pic="http://schemas.openxmlformats.org/drawingml/2006/picture">
                        <pic:nvPicPr>
                          <pic:cNvPr id="3" name="image12.png" descr="Peanut allergen icon"/>
                          <pic:cNvPicPr preferRelativeResize="0"/>
                        </pic:nvPicPr>
                        <pic:blipFill>
                          <a:blip r:embed="rId55"/>
                          <a:srcRect/>
                          <a:stretch>
                            <a:fillRect/>
                          </a:stretch>
                        </pic:blipFill>
                        <pic:spPr>
                          <a:xfrm>
                            <a:off x="0" y="0"/>
                            <a:ext cx="609600" cy="482600"/>
                          </a:xfrm>
                          <a:prstGeom prst="rect">
                            <a:avLst/>
                          </a:prstGeom>
                          <a:ln/>
                        </pic:spPr>
                      </pic:pic>
                    </a:graphicData>
                  </a:graphic>
                </wp:inline>
              </w:drawing>
            </w:r>
          </w:p>
        </w:tc>
        <w:tc>
          <w:tcPr>
            <w:tcW w:w="3315" w:type="dxa"/>
            <w:shd w:val="clear" w:color="auto" w:fill="FFFFFF"/>
            <w:tcMar>
              <w:top w:w="100" w:type="dxa"/>
              <w:left w:w="100" w:type="dxa"/>
              <w:bottom w:w="100" w:type="dxa"/>
              <w:right w:w="100" w:type="dxa"/>
            </w:tcMar>
          </w:tcPr>
          <w:p w14:paraId="2FC8A170" w14:textId="77777777" w:rsidR="00CA2451" w:rsidRDefault="00CA2451">
            <w:pPr>
              <w:spacing w:after="240"/>
              <w:jc w:val="center"/>
            </w:pPr>
          </w:p>
          <w:p w14:paraId="3EE620F3" w14:textId="77777777" w:rsidR="00CA2451" w:rsidRDefault="002040B0">
            <w:pPr>
              <w:spacing w:before="240" w:after="240"/>
              <w:jc w:val="center"/>
            </w:pPr>
            <w:r>
              <w:t>Peanuts</w:t>
            </w:r>
          </w:p>
        </w:tc>
        <w:tc>
          <w:tcPr>
            <w:tcW w:w="8775" w:type="dxa"/>
            <w:shd w:val="clear" w:color="auto" w:fill="FFFFFF"/>
            <w:tcMar>
              <w:top w:w="100" w:type="dxa"/>
              <w:left w:w="100" w:type="dxa"/>
              <w:bottom w:w="100" w:type="dxa"/>
              <w:right w:w="100" w:type="dxa"/>
            </w:tcMar>
          </w:tcPr>
          <w:p w14:paraId="1D8AED43" w14:textId="77777777" w:rsidR="00CA2451" w:rsidRDefault="002040B0">
            <w:pPr>
              <w:spacing w:before="240" w:after="240"/>
              <w:jc w:val="center"/>
            </w:pPr>
            <w:r>
              <w:t xml:space="preserve">Peanuts, peanut butter, peanut flour, peanut oil/arachis oil (cold-pressed, expelled or extruded; see note below), artificial nuts, beer nuts, ground nuts, mandelonas, mixed nuts, nut meat/nut meal, monkey nuts, peanut powder, peanut protein hydrolysate. Highly refined peanut oil is not labeled for this allergen, in line with </w:t>
            </w:r>
            <w:hyperlink r:id="rId56">
              <w:r>
                <w:rPr>
                  <w:color w:val="1155CC"/>
                  <w:u w:val="single"/>
                </w:rPr>
                <w:t>FDA regulations</w:t>
              </w:r>
            </w:hyperlink>
            <w:r>
              <w:t>.</w:t>
            </w:r>
          </w:p>
        </w:tc>
      </w:tr>
      <w:tr w:rsidR="00CA2451" w14:paraId="0E8FF204" w14:textId="77777777" w:rsidTr="00EB197F">
        <w:trPr>
          <w:trHeight w:val="995"/>
        </w:trPr>
        <w:tc>
          <w:tcPr>
            <w:tcW w:w="1545" w:type="dxa"/>
            <w:shd w:val="clear" w:color="auto" w:fill="FFFFFF"/>
            <w:tcMar>
              <w:top w:w="100" w:type="dxa"/>
              <w:left w:w="100" w:type="dxa"/>
              <w:bottom w:w="100" w:type="dxa"/>
              <w:right w:w="100" w:type="dxa"/>
            </w:tcMar>
          </w:tcPr>
          <w:p w14:paraId="683C4516" w14:textId="77777777" w:rsidR="00CA2451" w:rsidRDefault="002040B0">
            <w:pPr>
              <w:spacing w:before="240" w:after="240"/>
              <w:jc w:val="center"/>
            </w:pPr>
            <w:r>
              <w:rPr>
                <w:noProof/>
              </w:rPr>
              <w:drawing>
                <wp:inline distT="114300" distB="114300" distL="114300" distR="114300" wp14:anchorId="5E117D3A" wp14:editId="3D5DB8E3">
                  <wp:extent cx="596900" cy="482600"/>
                  <wp:effectExtent l="0" t="0" r="0" b="0"/>
                  <wp:docPr id="7" name="image3.png" descr="Shellfish allergen icon"/>
                  <wp:cNvGraphicFramePr/>
                  <a:graphic xmlns:a="http://schemas.openxmlformats.org/drawingml/2006/main">
                    <a:graphicData uri="http://schemas.openxmlformats.org/drawingml/2006/picture">
                      <pic:pic xmlns:pic="http://schemas.openxmlformats.org/drawingml/2006/picture">
                        <pic:nvPicPr>
                          <pic:cNvPr id="7" name="image3.png" descr="Shellfish allergen icon"/>
                          <pic:cNvPicPr preferRelativeResize="0"/>
                        </pic:nvPicPr>
                        <pic:blipFill>
                          <a:blip r:embed="rId57"/>
                          <a:srcRect/>
                          <a:stretch>
                            <a:fillRect/>
                          </a:stretch>
                        </pic:blipFill>
                        <pic:spPr>
                          <a:xfrm>
                            <a:off x="0" y="0"/>
                            <a:ext cx="596900" cy="482600"/>
                          </a:xfrm>
                          <a:prstGeom prst="rect">
                            <a:avLst/>
                          </a:prstGeom>
                          <a:ln/>
                        </pic:spPr>
                      </pic:pic>
                    </a:graphicData>
                  </a:graphic>
                </wp:inline>
              </w:drawing>
            </w:r>
          </w:p>
        </w:tc>
        <w:tc>
          <w:tcPr>
            <w:tcW w:w="3315" w:type="dxa"/>
            <w:shd w:val="clear" w:color="auto" w:fill="FFFFFF"/>
            <w:tcMar>
              <w:top w:w="100" w:type="dxa"/>
              <w:left w:w="100" w:type="dxa"/>
              <w:bottom w:w="100" w:type="dxa"/>
              <w:right w:w="100" w:type="dxa"/>
            </w:tcMar>
          </w:tcPr>
          <w:p w14:paraId="6B3358FF" w14:textId="77777777" w:rsidR="00CA2451" w:rsidRDefault="00CA2451">
            <w:pPr>
              <w:spacing w:after="240"/>
              <w:jc w:val="center"/>
            </w:pPr>
          </w:p>
          <w:p w14:paraId="2BEA2014" w14:textId="77777777" w:rsidR="00CA2451" w:rsidRDefault="002040B0">
            <w:pPr>
              <w:spacing w:before="240" w:after="240"/>
              <w:jc w:val="center"/>
            </w:pPr>
            <w:r>
              <w:t>Shellfish</w:t>
            </w:r>
          </w:p>
        </w:tc>
        <w:tc>
          <w:tcPr>
            <w:tcW w:w="8775" w:type="dxa"/>
            <w:shd w:val="clear" w:color="auto" w:fill="FFFFFF"/>
            <w:tcMar>
              <w:top w:w="100" w:type="dxa"/>
              <w:left w:w="100" w:type="dxa"/>
              <w:bottom w:w="100" w:type="dxa"/>
              <w:right w:w="100" w:type="dxa"/>
            </w:tcMar>
          </w:tcPr>
          <w:p w14:paraId="4FDD7967" w14:textId="77777777" w:rsidR="00CA2451" w:rsidRDefault="002040B0">
            <w:pPr>
              <w:spacing w:before="240" w:after="240"/>
              <w:jc w:val="center"/>
            </w:pPr>
            <w:r>
              <w:t>Crustaceans: crab, lobster, shrimp, crawfish, prawns, krill</w:t>
            </w:r>
          </w:p>
          <w:p w14:paraId="7E8751F6" w14:textId="77777777" w:rsidR="00CA2451" w:rsidRDefault="002040B0">
            <w:pPr>
              <w:spacing w:before="240" w:after="240"/>
              <w:jc w:val="center"/>
            </w:pPr>
            <w:r>
              <w:t>Mollusks: clams, oysters, scallops, snails, mussels, squid, octopus</w:t>
            </w:r>
          </w:p>
          <w:p w14:paraId="286039A3" w14:textId="77777777" w:rsidR="00CA2451" w:rsidRDefault="002040B0">
            <w:pPr>
              <w:spacing w:before="240" w:after="240"/>
              <w:jc w:val="center"/>
            </w:pPr>
            <w:r>
              <w:t>Also excludes any other shellfish byproducts or derivatives.</w:t>
            </w:r>
          </w:p>
        </w:tc>
      </w:tr>
      <w:tr w:rsidR="00CA2451" w14:paraId="0FBF9081" w14:textId="77777777" w:rsidTr="00EB197F">
        <w:trPr>
          <w:trHeight w:val="995"/>
        </w:trPr>
        <w:tc>
          <w:tcPr>
            <w:tcW w:w="1545" w:type="dxa"/>
            <w:shd w:val="clear" w:color="auto" w:fill="FFFFFF"/>
            <w:tcMar>
              <w:top w:w="100" w:type="dxa"/>
              <w:left w:w="100" w:type="dxa"/>
              <w:bottom w:w="100" w:type="dxa"/>
              <w:right w:w="100" w:type="dxa"/>
            </w:tcMar>
          </w:tcPr>
          <w:p w14:paraId="43444816" w14:textId="77777777" w:rsidR="00CA2451" w:rsidRDefault="002040B0">
            <w:pPr>
              <w:spacing w:before="240" w:after="240"/>
              <w:jc w:val="center"/>
            </w:pPr>
            <w:r>
              <w:rPr>
                <w:noProof/>
              </w:rPr>
              <w:drawing>
                <wp:inline distT="114300" distB="114300" distL="114300" distR="114300" wp14:anchorId="2ED328AD" wp14:editId="240EEC93">
                  <wp:extent cx="520700" cy="482600"/>
                  <wp:effectExtent l="0" t="0" r="0" b="0"/>
                  <wp:docPr id="6" name="image11.png" descr="Soy allergen icon"/>
                  <wp:cNvGraphicFramePr/>
                  <a:graphic xmlns:a="http://schemas.openxmlformats.org/drawingml/2006/main">
                    <a:graphicData uri="http://schemas.openxmlformats.org/drawingml/2006/picture">
                      <pic:pic xmlns:pic="http://schemas.openxmlformats.org/drawingml/2006/picture">
                        <pic:nvPicPr>
                          <pic:cNvPr id="6" name="image11.png" descr="Soy allergen icon"/>
                          <pic:cNvPicPr preferRelativeResize="0"/>
                        </pic:nvPicPr>
                        <pic:blipFill>
                          <a:blip r:embed="rId58"/>
                          <a:srcRect/>
                          <a:stretch>
                            <a:fillRect/>
                          </a:stretch>
                        </pic:blipFill>
                        <pic:spPr>
                          <a:xfrm>
                            <a:off x="0" y="0"/>
                            <a:ext cx="520700" cy="482600"/>
                          </a:xfrm>
                          <a:prstGeom prst="rect">
                            <a:avLst/>
                          </a:prstGeom>
                          <a:ln/>
                        </pic:spPr>
                      </pic:pic>
                    </a:graphicData>
                  </a:graphic>
                </wp:inline>
              </w:drawing>
            </w:r>
          </w:p>
        </w:tc>
        <w:tc>
          <w:tcPr>
            <w:tcW w:w="3315" w:type="dxa"/>
            <w:shd w:val="clear" w:color="auto" w:fill="FFFFFF"/>
            <w:tcMar>
              <w:top w:w="100" w:type="dxa"/>
              <w:left w:w="100" w:type="dxa"/>
              <w:bottom w:w="100" w:type="dxa"/>
              <w:right w:w="100" w:type="dxa"/>
            </w:tcMar>
          </w:tcPr>
          <w:p w14:paraId="2D8E5C85" w14:textId="77777777" w:rsidR="00CA2451" w:rsidRDefault="00CA2451">
            <w:pPr>
              <w:spacing w:after="240"/>
              <w:jc w:val="center"/>
            </w:pPr>
          </w:p>
          <w:p w14:paraId="49801CB4" w14:textId="77777777" w:rsidR="00CA2451" w:rsidRDefault="002040B0">
            <w:pPr>
              <w:spacing w:before="240" w:after="240"/>
              <w:jc w:val="center"/>
            </w:pPr>
            <w:r>
              <w:t>Soy</w:t>
            </w:r>
          </w:p>
        </w:tc>
        <w:tc>
          <w:tcPr>
            <w:tcW w:w="8775" w:type="dxa"/>
            <w:shd w:val="clear" w:color="auto" w:fill="FFFFFF"/>
            <w:tcMar>
              <w:top w:w="100" w:type="dxa"/>
              <w:left w:w="100" w:type="dxa"/>
              <w:bottom w:w="100" w:type="dxa"/>
              <w:right w:w="100" w:type="dxa"/>
            </w:tcMar>
          </w:tcPr>
          <w:p w14:paraId="52D9FCAE" w14:textId="77777777" w:rsidR="00CA2451" w:rsidRDefault="002040B0">
            <w:pPr>
              <w:spacing w:before="240" w:after="240"/>
              <w:jc w:val="center"/>
            </w:pPr>
            <w:r>
              <w:t xml:space="preserve">Soy (soy albumin, soy cheese, soy fiber, soy flour, soy grits, soy ice cream, soy milk, soy nuts, soy sprouts, soy yogurt), tofu, tempeh, soy protein (concentrate, hydrolyzed, isolate), soy lecithin, edamame, miso, natto, okara, shoyu, soya, soybeans, soy sauce, tamari, texturized vegetable protein (TVP). Highly refined soy oil is not labeled for this allergen, in line with </w:t>
            </w:r>
            <w:hyperlink r:id="rId59">
              <w:r>
                <w:rPr>
                  <w:color w:val="1155CC"/>
                  <w:u w:val="single"/>
                </w:rPr>
                <w:t>FDA regulations</w:t>
              </w:r>
            </w:hyperlink>
            <w:r>
              <w:t>.</w:t>
            </w:r>
          </w:p>
        </w:tc>
      </w:tr>
      <w:tr w:rsidR="00CA2451" w14:paraId="7246C4C0" w14:textId="77777777" w:rsidTr="00EB197F">
        <w:trPr>
          <w:trHeight w:val="995"/>
        </w:trPr>
        <w:tc>
          <w:tcPr>
            <w:tcW w:w="1545" w:type="dxa"/>
            <w:shd w:val="clear" w:color="auto" w:fill="FFFFFF"/>
            <w:tcMar>
              <w:top w:w="100" w:type="dxa"/>
              <w:left w:w="100" w:type="dxa"/>
              <w:bottom w:w="100" w:type="dxa"/>
              <w:right w:w="100" w:type="dxa"/>
            </w:tcMar>
          </w:tcPr>
          <w:p w14:paraId="431770EA" w14:textId="77777777" w:rsidR="00CA2451" w:rsidRDefault="00CA2451">
            <w:pPr>
              <w:spacing w:before="240" w:line="360" w:lineRule="auto"/>
              <w:jc w:val="center"/>
            </w:pPr>
          </w:p>
          <w:p w14:paraId="7553A8DB" w14:textId="77777777" w:rsidR="00CA2451" w:rsidRDefault="002040B0">
            <w:pPr>
              <w:spacing w:after="240" w:line="360" w:lineRule="auto"/>
              <w:jc w:val="center"/>
            </w:pPr>
            <w:r>
              <w:rPr>
                <w:noProof/>
              </w:rPr>
              <w:drawing>
                <wp:inline distT="114300" distB="114300" distL="114300" distR="114300" wp14:anchorId="392490EC" wp14:editId="359ACE8A">
                  <wp:extent cx="520700" cy="482600"/>
                  <wp:effectExtent l="0" t="0" r="0" b="0"/>
                  <wp:docPr id="14" name="image15.png" descr="Tree nut allergen icon"/>
                  <wp:cNvGraphicFramePr/>
                  <a:graphic xmlns:a="http://schemas.openxmlformats.org/drawingml/2006/main">
                    <a:graphicData uri="http://schemas.openxmlformats.org/drawingml/2006/picture">
                      <pic:pic xmlns:pic="http://schemas.openxmlformats.org/drawingml/2006/picture">
                        <pic:nvPicPr>
                          <pic:cNvPr id="14" name="image15.png" descr="Tree nut allergen icon"/>
                          <pic:cNvPicPr preferRelativeResize="0"/>
                        </pic:nvPicPr>
                        <pic:blipFill>
                          <a:blip r:embed="rId60"/>
                          <a:srcRect/>
                          <a:stretch>
                            <a:fillRect/>
                          </a:stretch>
                        </pic:blipFill>
                        <pic:spPr>
                          <a:xfrm>
                            <a:off x="0" y="0"/>
                            <a:ext cx="520700" cy="482600"/>
                          </a:xfrm>
                          <a:prstGeom prst="rect">
                            <a:avLst/>
                          </a:prstGeom>
                          <a:ln/>
                        </pic:spPr>
                      </pic:pic>
                    </a:graphicData>
                  </a:graphic>
                </wp:inline>
              </w:drawing>
            </w:r>
          </w:p>
        </w:tc>
        <w:tc>
          <w:tcPr>
            <w:tcW w:w="3315" w:type="dxa"/>
            <w:shd w:val="clear" w:color="auto" w:fill="FFFFFF"/>
            <w:tcMar>
              <w:top w:w="100" w:type="dxa"/>
              <w:left w:w="100" w:type="dxa"/>
              <w:bottom w:w="100" w:type="dxa"/>
              <w:right w:w="100" w:type="dxa"/>
            </w:tcMar>
          </w:tcPr>
          <w:p w14:paraId="2581D052" w14:textId="77777777" w:rsidR="00CA2451" w:rsidRDefault="00CA2451">
            <w:pPr>
              <w:spacing w:after="240"/>
              <w:jc w:val="center"/>
            </w:pPr>
          </w:p>
          <w:p w14:paraId="0021AFE3" w14:textId="77777777" w:rsidR="00CA2451" w:rsidRDefault="002040B0">
            <w:pPr>
              <w:spacing w:before="240" w:after="240"/>
              <w:jc w:val="center"/>
            </w:pPr>
            <w:r>
              <w:t>Tree Nuts</w:t>
            </w:r>
          </w:p>
        </w:tc>
        <w:tc>
          <w:tcPr>
            <w:tcW w:w="8775" w:type="dxa"/>
            <w:shd w:val="clear" w:color="auto" w:fill="FFFFFF"/>
            <w:tcMar>
              <w:top w:w="100" w:type="dxa"/>
              <w:left w:w="100" w:type="dxa"/>
              <w:bottom w:w="100" w:type="dxa"/>
              <w:right w:w="100" w:type="dxa"/>
            </w:tcMar>
          </w:tcPr>
          <w:p w14:paraId="27653FA1" w14:textId="77777777" w:rsidR="00CA2451" w:rsidRDefault="002040B0">
            <w:pPr>
              <w:spacing w:before="240" w:after="240"/>
              <w:jc w:val="center"/>
            </w:pPr>
            <w:r>
              <w:t xml:space="preserve">Walnuts, pistachios, almonds, brazil nuts, hazelnuts, cashews, macadamia nuts, pecans, pine nuts, pralines, beechnuts, hickory nuts, walnut hull extract, any kind of tree nut flour/nut meal, nut milks (alternative milks), nut oils (i.e. walnut oil), nut butters, </w:t>
            </w:r>
            <w:r>
              <w:rPr>
                <w:u w:val="single"/>
              </w:rPr>
              <w:t>coconut</w:t>
            </w:r>
            <w:r>
              <w:t xml:space="preserve"> (any products, flour, sugar, oil, etc). Does not include peanuts. Note: some “nut” extracts or emulsions are artificially flavored and actually do not contain nuts and are therefore nut-free. </w:t>
            </w:r>
          </w:p>
        </w:tc>
      </w:tr>
      <w:tr w:rsidR="00CA2451" w14:paraId="32CCF9B6" w14:textId="77777777" w:rsidTr="00EB197F">
        <w:trPr>
          <w:trHeight w:val="995"/>
        </w:trPr>
        <w:tc>
          <w:tcPr>
            <w:tcW w:w="1545" w:type="dxa"/>
            <w:shd w:val="clear" w:color="auto" w:fill="FFFFFF"/>
            <w:tcMar>
              <w:top w:w="100" w:type="dxa"/>
              <w:left w:w="100" w:type="dxa"/>
              <w:bottom w:w="100" w:type="dxa"/>
              <w:right w:w="100" w:type="dxa"/>
            </w:tcMar>
          </w:tcPr>
          <w:p w14:paraId="1FF6E9FF" w14:textId="77777777" w:rsidR="00CA2451" w:rsidRDefault="002040B0">
            <w:pPr>
              <w:spacing w:before="240" w:after="240"/>
              <w:jc w:val="center"/>
            </w:pPr>
            <w:r>
              <w:rPr>
                <w:noProof/>
              </w:rPr>
              <w:lastRenderedPageBreak/>
              <w:drawing>
                <wp:inline distT="114300" distB="114300" distL="114300" distR="114300" wp14:anchorId="6E43762D" wp14:editId="4C6A101B">
                  <wp:extent cx="406400" cy="482600"/>
                  <wp:effectExtent l="0" t="0" r="0" b="0"/>
                  <wp:docPr id="2" name="image5.png" descr="Gluten allergen icon"/>
                  <wp:cNvGraphicFramePr/>
                  <a:graphic xmlns:a="http://schemas.openxmlformats.org/drawingml/2006/main">
                    <a:graphicData uri="http://schemas.openxmlformats.org/drawingml/2006/picture">
                      <pic:pic xmlns:pic="http://schemas.openxmlformats.org/drawingml/2006/picture">
                        <pic:nvPicPr>
                          <pic:cNvPr id="2" name="image5.png" descr="Gluten allergen icon"/>
                          <pic:cNvPicPr preferRelativeResize="0"/>
                        </pic:nvPicPr>
                        <pic:blipFill>
                          <a:blip r:embed="rId61"/>
                          <a:srcRect/>
                          <a:stretch>
                            <a:fillRect/>
                          </a:stretch>
                        </pic:blipFill>
                        <pic:spPr>
                          <a:xfrm>
                            <a:off x="0" y="0"/>
                            <a:ext cx="406400" cy="482600"/>
                          </a:xfrm>
                          <a:prstGeom prst="rect">
                            <a:avLst/>
                          </a:prstGeom>
                          <a:ln/>
                        </pic:spPr>
                      </pic:pic>
                    </a:graphicData>
                  </a:graphic>
                </wp:inline>
              </w:drawing>
            </w:r>
          </w:p>
        </w:tc>
        <w:tc>
          <w:tcPr>
            <w:tcW w:w="3315" w:type="dxa"/>
            <w:shd w:val="clear" w:color="auto" w:fill="FFFFFF"/>
            <w:tcMar>
              <w:top w:w="100" w:type="dxa"/>
              <w:left w:w="100" w:type="dxa"/>
              <w:bottom w:w="100" w:type="dxa"/>
              <w:right w:w="100" w:type="dxa"/>
            </w:tcMar>
          </w:tcPr>
          <w:p w14:paraId="5E7B9302" w14:textId="77777777" w:rsidR="00CA2451" w:rsidRDefault="00CA2451">
            <w:pPr>
              <w:spacing w:before="240"/>
              <w:jc w:val="center"/>
            </w:pPr>
          </w:p>
          <w:p w14:paraId="45C3967B" w14:textId="77777777" w:rsidR="00CA2451" w:rsidRDefault="002040B0">
            <w:pPr>
              <w:spacing w:after="240"/>
              <w:jc w:val="center"/>
            </w:pPr>
            <w:r>
              <w:t>Gluten</w:t>
            </w:r>
          </w:p>
        </w:tc>
        <w:tc>
          <w:tcPr>
            <w:tcW w:w="8775" w:type="dxa"/>
            <w:shd w:val="clear" w:color="auto" w:fill="FFFFFF"/>
            <w:tcMar>
              <w:top w:w="100" w:type="dxa"/>
              <w:left w:w="100" w:type="dxa"/>
              <w:bottom w:w="100" w:type="dxa"/>
              <w:right w:w="100" w:type="dxa"/>
            </w:tcMar>
          </w:tcPr>
          <w:p w14:paraId="7B70D5F4" w14:textId="77777777" w:rsidR="00CA2451" w:rsidRDefault="002040B0">
            <w:pPr>
              <w:spacing w:before="240" w:after="200"/>
              <w:jc w:val="center"/>
            </w:pPr>
            <w:r>
              <w:t>Barley, rye, oats (not certified GF), wheat (bran, durum, germ, gluten, grass, malt, sprouts, starch), bread/stuffing/crumbs, brewer’s yeast, bulgar, durum, farro/spelt, seitan, semolina, flour (all-purpose, bread, cake, durum, enriched, graham, high-gluten, high-protein, instant, pastry, self-rising, soft wheat, steel ground, stone ground, whole wheat).</w:t>
            </w:r>
          </w:p>
        </w:tc>
      </w:tr>
      <w:tr w:rsidR="00CA2451" w14:paraId="1E1147CA" w14:textId="77777777" w:rsidTr="00EB197F">
        <w:trPr>
          <w:trHeight w:val="995"/>
        </w:trPr>
        <w:tc>
          <w:tcPr>
            <w:tcW w:w="1545" w:type="dxa"/>
            <w:shd w:val="clear" w:color="auto" w:fill="FFFFFF"/>
            <w:tcMar>
              <w:top w:w="100" w:type="dxa"/>
              <w:left w:w="100" w:type="dxa"/>
              <w:bottom w:w="100" w:type="dxa"/>
              <w:right w:w="100" w:type="dxa"/>
            </w:tcMar>
          </w:tcPr>
          <w:p w14:paraId="7C948F8F" w14:textId="77777777" w:rsidR="00CA2451" w:rsidRDefault="002040B0">
            <w:pPr>
              <w:spacing w:before="240" w:after="240"/>
              <w:jc w:val="center"/>
            </w:pPr>
            <w:r>
              <w:rPr>
                <w:noProof/>
              </w:rPr>
              <w:drawing>
                <wp:inline distT="114300" distB="114300" distL="114300" distR="114300" wp14:anchorId="4ABFDD29" wp14:editId="32CC14F3">
                  <wp:extent cx="711200" cy="482600"/>
                  <wp:effectExtent l="0" t="0" r="0" b="0"/>
                  <wp:docPr id="12" name="image1.png" descr="Pork allergen icon"/>
                  <wp:cNvGraphicFramePr/>
                  <a:graphic xmlns:a="http://schemas.openxmlformats.org/drawingml/2006/main">
                    <a:graphicData uri="http://schemas.openxmlformats.org/drawingml/2006/picture">
                      <pic:pic xmlns:pic="http://schemas.openxmlformats.org/drawingml/2006/picture">
                        <pic:nvPicPr>
                          <pic:cNvPr id="12" name="image1.png" descr="Pork allergen icon"/>
                          <pic:cNvPicPr preferRelativeResize="0"/>
                        </pic:nvPicPr>
                        <pic:blipFill>
                          <a:blip r:embed="rId62"/>
                          <a:srcRect/>
                          <a:stretch>
                            <a:fillRect/>
                          </a:stretch>
                        </pic:blipFill>
                        <pic:spPr>
                          <a:xfrm>
                            <a:off x="0" y="0"/>
                            <a:ext cx="711200" cy="482600"/>
                          </a:xfrm>
                          <a:prstGeom prst="rect">
                            <a:avLst/>
                          </a:prstGeom>
                          <a:ln/>
                        </pic:spPr>
                      </pic:pic>
                    </a:graphicData>
                  </a:graphic>
                </wp:inline>
              </w:drawing>
            </w:r>
          </w:p>
        </w:tc>
        <w:tc>
          <w:tcPr>
            <w:tcW w:w="3315" w:type="dxa"/>
            <w:shd w:val="clear" w:color="auto" w:fill="FFFFFF"/>
            <w:tcMar>
              <w:top w:w="100" w:type="dxa"/>
              <w:left w:w="100" w:type="dxa"/>
              <w:bottom w:w="100" w:type="dxa"/>
              <w:right w:w="100" w:type="dxa"/>
            </w:tcMar>
          </w:tcPr>
          <w:p w14:paraId="6A5455FC" w14:textId="77777777" w:rsidR="00CA2451" w:rsidRDefault="00CA2451">
            <w:pPr>
              <w:spacing w:after="240"/>
              <w:jc w:val="center"/>
            </w:pPr>
          </w:p>
          <w:p w14:paraId="40739A42" w14:textId="77777777" w:rsidR="00CA2451" w:rsidRDefault="002040B0">
            <w:pPr>
              <w:spacing w:before="240" w:after="240"/>
              <w:jc w:val="center"/>
            </w:pPr>
            <w:r>
              <w:t>Pork</w:t>
            </w:r>
          </w:p>
        </w:tc>
        <w:tc>
          <w:tcPr>
            <w:tcW w:w="8775" w:type="dxa"/>
            <w:shd w:val="clear" w:color="auto" w:fill="FFFFFF"/>
            <w:tcMar>
              <w:top w:w="100" w:type="dxa"/>
              <w:left w:w="100" w:type="dxa"/>
              <w:bottom w:w="100" w:type="dxa"/>
              <w:right w:w="100" w:type="dxa"/>
            </w:tcMar>
          </w:tcPr>
          <w:p w14:paraId="2DF1BD87" w14:textId="77777777" w:rsidR="00CA2451" w:rsidRDefault="00CA2451">
            <w:pPr>
              <w:jc w:val="center"/>
            </w:pPr>
          </w:p>
          <w:p w14:paraId="2E00BEEF" w14:textId="77777777" w:rsidR="00CA2451" w:rsidRDefault="00CA2451">
            <w:pPr>
              <w:jc w:val="center"/>
            </w:pPr>
          </w:p>
          <w:p w14:paraId="6DA996F6" w14:textId="77777777" w:rsidR="00CA2451" w:rsidRDefault="002040B0">
            <w:pPr>
              <w:jc w:val="center"/>
            </w:pPr>
            <w:r>
              <w:t>Any cut of pork, bacon, ham, sausage, pork gelatin, marshmallows, some gravies, lard.</w:t>
            </w:r>
          </w:p>
        </w:tc>
      </w:tr>
      <w:tr w:rsidR="00CA2451" w14:paraId="1F14CB3D" w14:textId="77777777" w:rsidTr="00EB197F">
        <w:trPr>
          <w:trHeight w:val="1746"/>
        </w:trPr>
        <w:tc>
          <w:tcPr>
            <w:tcW w:w="1545" w:type="dxa"/>
            <w:shd w:val="clear" w:color="auto" w:fill="FFFFFF"/>
            <w:tcMar>
              <w:top w:w="100" w:type="dxa"/>
              <w:left w:w="100" w:type="dxa"/>
              <w:bottom w:w="100" w:type="dxa"/>
              <w:right w:w="100" w:type="dxa"/>
            </w:tcMar>
          </w:tcPr>
          <w:p w14:paraId="17FBE3EE" w14:textId="77777777" w:rsidR="00CA2451" w:rsidRDefault="002040B0">
            <w:pPr>
              <w:spacing w:before="240"/>
              <w:jc w:val="center"/>
            </w:pPr>
            <w:r>
              <w:rPr>
                <w:noProof/>
              </w:rPr>
              <w:drawing>
                <wp:inline distT="114300" distB="114300" distL="114300" distR="114300" wp14:anchorId="7AA53F15" wp14:editId="1DC14EDB">
                  <wp:extent cx="431800" cy="482600"/>
                  <wp:effectExtent l="0" t="0" r="0" b="0"/>
                  <wp:docPr id="13" name="image13.png" descr="Alcohol allergen icon"/>
                  <wp:cNvGraphicFramePr/>
                  <a:graphic xmlns:a="http://schemas.openxmlformats.org/drawingml/2006/main">
                    <a:graphicData uri="http://schemas.openxmlformats.org/drawingml/2006/picture">
                      <pic:pic xmlns:pic="http://schemas.openxmlformats.org/drawingml/2006/picture">
                        <pic:nvPicPr>
                          <pic:cNvPr id="13" name="image13.png" descr="Alcohol allergen icon"/>
                          <pic:cNvPicPr preferRelativeResize="0"/>
                        </pic:nvPicPr>
                        <pic:blipFill>
                          <a:blip r:embed="rId63"/>
                          <a:srcRect/>
                          <a:stretch>
                            <a:fillRect/>
                          </a:stretch>
                        </pic:blipFill>
                        <pic:spPr>
                          <a:xfrm>
                            <a:off x="0" y="0"/>
                            <a:ext cx="431800" cy="482600"/>
                          </a:xfrm>
                          <a:prstGeom prst="rect">
                            <a:avLst/>
                          </a:prstGeom>
                          <a:ln/>
                        </pic:spPr>
                      </pic:pic>
                    </a:graphicData>
                  </a:graphic>
                </wp:inline>
              </w:drawing>
            </w:r>
          </w:p>
        </w:tc>
        <w:tc>
          <w:tcPr>
            <w:tcW w:w="3315" w:type="dxa"/>
            <w:shd w:val="clear" w:color="auto" w:fill="FFFFFF"/>
            <w:tcMar>
              <w:top w:w="100" w:type="dxa"/>
              <w:left w:w="100" w:type="dxa"/>
              <w:bottom w:w="100" w:type="dxa"/>
              <w:right w:w="100" w:type="dxa"/>
            </w:tcMar>
          </w:tcPr>
          <w:p w14:paraId="3563E93E" w14:textId="77777777" w:rsidR="00CA2451" w:rsidRDefault="00CA2451">
            <w:pPr>
              <w:spacing w:before="240"/>
              <w:jc w:val="center"/>
            </w:pPr>
          </w:p>
          <w:p w14:paraId="54F7C9D0" w14:textId="77777777" w:rsidR="00CA2451" w:rsidRDefault="002040B0">
            <w:pPr>
              <w:jc w:val="center"/>
            </w:pPr>
            <w:r>
              <w:t>Alcohol</w:t>
            </w:r>
          </w:p>
        </w:tc>
        <w:tc>
          <w:tcPr>
            <w:tcW w:w="8775" w:type="dxa"/>
            <w:shd w:val="clear" w:color="auto" w:fill="FFFFFF"/>
            <w:tcMar>
              <w:top w:w="100" w:type="dxa"/>
              <w:left w:w="100" w:type="dxa"/>
              <w:bottom w:w="100" w:type="dxa"/>
              <w:right w:w="100" w:type="dxa"/>
            </w:tcMar>
          </w:tcPr>
          <w:p w14:paraId="410605AE" w14:textId="77777777" w:rsidR="00CA2451" w:rsidRDefault="002040B0">
            <w:pPr>
              <w:spacing w:before="240" w:after="200"/>
              <w:jc w:val="center"/>
            </w:pPr>
            <w:r>
              <w:t xml:space="preserve">Alcoholic beverages used in cooking (sherry, bourbon, wines, etc), alcohol vinegars (see above), natural/imitation vanilla extract (unless specifically says alcohol free), flavoring extracts (i.e. almond extract), many chocolates that contain vanilla extract, certain soy sauces (unless certified halal), yeast extract, brewing yeast/brewing starter, dijon mustard. Baker’s yeast in baked goods is </w:t>
            </w:r>
            <w:r>
              <w:rPr>
                <w:u w:val="single"/>
              </w:rPr>
              <w:t>not</w:t>
            </w:r>
            <w:r>
              <w:t xml:space="preserve"> labeled as containing alcohol.</w:t>
            </w:r>
          </w:p>
        </w:tc>
      </w:tr>
    </w:tbl>
    <w:p w14:paraId="7BC5B3A1" w14:textId="77777777" w:rsidR="00CA2451" w:rsidRDefault="00CA2451">
      <w:pPr>
        <w:spacing w:before="240" w:after="240"/>
      </w:pPr>
    </w:p>
    <w:p w14:paraId="6A892AD6" w14:textId="77777777" w:rsidR="00CA2451" w:rsidRDefault="00CA2451">
      <w:pPr>
        <w:spacing w:before="240" w:after="240"/>
      </w:pPr>
    </w:p>
    <w:p w14:paraId="2B3D3D9E" w14:textId="77777777" w:rsidR="00CA2451" w:rsidRDefault="002040B0">
      <w:pPr>
        <w:pStyle w:val="Heading2"/>
        <w:spacing w:before="240" w:after="240"/>
      </w:pPr>
      <w:bookmarkStart w:id="21" w:name="_nv13sbl63v0c" w:colFirst="0" w:colLast="0"/>
      <w:bookmarkEnd w:id="21"/>
      <w:r>
        <w:t>Frequently Asked Questions</w:t>
      </w:r>
    </w:p>
    <w:p w14:paraId="6771A31F" w14:textId="77777777" w:rsidR="00CA2451" w:rsidRDefault="002040B0">
      <w:pPr>
        <w:spacing w:before="240" w:after="240"/>
        <w:rPr>
          <w:i/>
          <w:iCs/>
          <w:sz w:val="26"/>
          <w:szCs w:val="26"/>
        </w:rPr>
      </w:pPr>
      <w:r>
        <w:rPr>
          <w:i/>
          <w:iCs/>
          <w:sz w:val="26"/>
          <w:szCs w:val="26"/>
        </w:rPr>
        <w:t>Can I get a meal plan exemption because of my dietary restrictions?</w:t>
      </w:r>
    </w:p>
    <w:p w14:paraId="0D8BDC78" w14:textId="77777777" w:rsidR="00CA2451" w:rsidRDefault="002040B0">
      <w:pPr>
        <w:spacing w:before="240" w:after="240"/>
        <w:rPr>
          <w:sz w:val="24"/>
          <w:szCs w:val="24"/>
        </w:rPr>
      </w:pPr>
      <w:r>
        <w:rPr>
          <w:sz w:val="24"/>
          <w:szCs w:val="24"/>
        </w:rPr>
        <w:t xml:space="preserve">As outlined in the </w:t>
      </w:r>
      <w:hyperlink r:id="rId64">
        <w:r>
          <w:rPr>
            <w:color w:val="1155CC"/>
            <w:sz w:val="24"/>
            <w:szCs w:val="24"/>
            <w:u w:val="single"/>
          </w:rPr>
          <w:t>2023-24 UHDS contract</w:t>
        </w:r>
      </w:hyperlink>
      <w:r>
        <w:rPr>
          <w:sz w:val="24"/>
          <w:szCs w:val="24"/>
        </w:rPr>
        <w:t xml:space="preserve">, students who live on campus are required to have a dining plan. This is to ensure that all students who live on campus have direct access to balanced, nutritious, and affordable food. Similar to many universities nationwide, first-year students are required to </w:t>
      </w:r>
      <w:hyperlink r:id="rId65">
        <w:r>
          <w:rPr>
            <w:color w:val="1155CC"/>
            <w:sz w:val="24"/>
            <w:szCs w:val="24"/>
            <w:u w:val="single"/>
          </w:rPr>
          <w:t>live on campus</w:t>
        </w:r>
      </w:hyperlink>
      <w:r>
        <w:rPr>
          <w:sz w:val="24"/>
          <w:szCs w:val="24"/>
        </w:rPr>
        <w:t xml:space="preserve"> as part of the </w:t>
      </w:r>
      <w:hyperlink r:id="rId66">
        <w:r>
          <w:rPr>
            <w:color w:val="1155CC"/>
            <w:sz w:val="24"/>
            <w:szCs w:val="24"/>
            <w:u w:val="single"/>
          </w:rPr>
          <w:t>OSU Student Experience program</w:t>
        </w:r>
      </w:hyperlink>
      <w:r>
        <w:rPr>
          <w:sz w:val="24"/>
          <w:szCs w:val="24"/>
        </w:rPr>
        <w:t>. As a result, UHDS is obligated to make reasonable accommodations for resident students with dietary restrictions. The comprehensive integration of multiple tools that enable students with dietary restrictions to navigate menus, request for food to be separately prepared for cross-contact sensitivity, and prepare much of their own food in residence hall kitchens provides support tools that meet the needs of the vast majority of students. There are additional accommodations that can be provided following connection through DAS (</w:t>
      </w:r>
      <w:hyperlink w:anchor="_h5vmtj64rl78">
        <w:r>
          <w:rPr>
            <w:color w:val="1155CC"/>
            <w:sz w:val="24"/>
            <w:szCs w:val="24"/>
            <w:u w:val="single"/>
          </w:rPr>
          <w:t>see section above</w:t>
        </w:r>
      </w:hyperlink>
      <w:r>
        <w:rPr>
          <w:sz w:val="24"/>
          <w:szCs w:val="24"/>
        </w:rPr>
        <w:t xml:space="preserve">). Since there are multiple comprehensive operational tools and accommodations, including some beyond those outlined in this guide, it is exceptionally rare for a student to be granted a meal plan exemption. </w:t>
      </w:r>
    </w:p>
    <w:p w14:paraId="499592E7" w14:textId="77777777" w:rsidR="00CA2451" w:rsidRDefault="00CA2451">
      <w:pPr>
        <w:spacing w:before="240" w:after="240"/>
        <w:rPr>
          <w:sz w:val="24"/>
          <w:szCs w:val="24"/>
        </w:rPr>
      </w:pPr>
    </w:p>
    <w:p w14:paraId="0A318150" w14:textId="77777777" w:rsidR="00CA2451" w:rsidRDefault="002040B0">
      <w:pPr>
        <w:spacing w:before="240" w:after="240"/>
        <w:rPr>
          <w:i/>
          <w:iCs/>
          <w:sz w:val="26"/>
          <w:szCs w:val="26"/>
        </w:rPr>
      </w:pPr>
      <w:r>
        <w:rPr>
          <w:i/>
          <w:iCs/>
          <w:sz w:val="26"/>
          <w:szCs w:val="26"/>
        </w:rPr>
        <w:t>Can I get my own kitchen?</w:t>
      </w:r>
    </w:p>
    <w:p w14:paraId="283A81ED" w14:textId="77777777" w:rsidR="00CA2451" w:rsidRDefault="002040B0">
      <w:pPr>
        <w:spacing w:before="240" w:after="240"/>
        <w:rPr>
          <w:sz w:val="24"/>
          <w:szCs w:val="24"/>
        </w:rPr>
      </w:pPr>
      <w:r>
        <w:rPr>
          <w:sz w:val="24"/>
          <w:szCs w:val="24"/>
        </w:rPr>
        <w:t xml:space="preserve">As covered in the section above, </w:t>
      </w:r>
      <w:hyperlink w:anchor="_9g3lqyd6nz7b">
        <w:r>
          <w:rPr>
            <w:color w:val="1155CC"/>
            <w:sz w:val="24"/>
            <w:szCs w:val="24"/>
            <w:u w:val="single"/>
          </w:rPr>
          <w:t>Cooking in Residence Halls</w:t>
        </w:r>
      </w:hyperlink>
      <w:r>
        <w:rPr>
          <w:sz w:val="24"/>
          <w:szCs w:val="24"/>
        </w:rPr>
        <w:t>, each residence hall has at least one shared kitchen space for all residents to use. These spaces are maintained by the resident leadership in each building and topics can be addressed directly with those contacts. Full, single kitchens are not available in the first-year residence halls, although some shared kitchenette spaces (which include a small sink and microwave) are available in a few of the second-year and above residence models, many which require connection through Disability Access Services. Please reach out and work with your residence leadership for help, concerns, or issues related to the shared kitchen spaces.</w:t>
      </w:r>
    </w:p>
    <w:p w14:paraId="67972CD9" w14:textId="77777777" w:rsidR="00CA2451" w:rsidRDefault="00CA2451">
      <w:pPr>
        <w:spacing w:before="240" w:after="240"/>
        <w:rPr>
          <w:sz w:val="28"/>
          <w:szCs w:val="28"/>
        </w:rPr>
      </w:pPr>
    </w:p>
    <w:p w14:paraId="2DA0732D" w14:textId="77777777" w:rsidR="00CA2451" w:rsidRDefault="002040B0">
      <w:pPr>
        <w:spacing w:before="240" w:after="240"/>
        <w:rPr>
          <w:i/>
          <w:iCs/>
          <w:sz w:val="26"/>
          <w:szCs w:val="26"/>
        </w:rPr>
      </w:pPr>
      <w:r>
        <w:rPr>
          <w:i/>
          <w:iCs/>
          <w:sz w:val="26"/>
          <w:szCs w:val="26"/>
        </w:rPr>
        <w:t>Do all residence hall kitchens have lockers?  Where can I store cooking equipment if I don’t have a locker?</w:t>
      </w:r>
    </w:p>
    <w:p w14:paraId="7F6F3FDD" w14:textId="77777777" w:rsidR="00CA2451" w:rsidRDefault="002040B0">
      <w:pPr>
        <w:spacing w:before="240" w:after="240"/>
        <w:rPr>
          <w:sz w:val="24"/>
          <w:szCs w:val="24"/>
        </w:rPr>
      </w:pPr>
      <w:r>
        <w:rPr>
          <w:sz w:val="24"/>
          <w:szCs w:val="24"/>
        </w:rPr>
        <w:t xml:space="preserve">Few of the residence halls have lockers available near the kitchen spaces, and those that do are available on a first-come, first-served basis. Most residents that will use their own cooking equipment (due to cross-contact sensitivity or limited availability of rental equipment) will need to store the equipment in their room when not in use. This may be accomplished by storing the equipment in a bin with a lid or rolling case that can more easily be transported to and from the kitchen. Please refer to the section above regarding </w:t>
      </w:r>
      <w:hyperlink w:anchor="_9g3lqyd6nz7b">
        <w:r>
          <w:rPr>
            <w:color w:val="1155CC"/>
            <w:sz w:val="24"/>
            <w:szCs w:val="24"/>
            <w:u w:val="single"/>
          </w:rPr>
          <w:t>Cooking in Residence Halls</w:t>
        </w:r>
      </w:hyperlink>
      <w:r>
        <w:rPr>
          <w:sz w:val="24"/>
          <w:szCs w:val="24"/>
        </w:rPr>
        <w:t xml:space="preserve"> for more information. </w:t>
      </w:r>
    </w:p>
    <w:p w14:paraId="69F1FC2A" w14:textId="77777777" w:rsidR="00CA2451" w:rsidRDefault="00CA2451">
      <w:pPr>
        <w:spacing w:before="240" w:after="240"/>
        <w:rPr>
          <w:sz w:val="24"/>
          <w:szCs w:val="24"/>
        </w:rPr>
      </w:pPr>
    </w:p>
    <w:p w14:paraId="0363D345" w14:textId="77777777" w:rsidR="00CA2451" w:rsidRDefault="002040B0">
      <w:pPr>
        <w:spacing w:before="240" w:after="240"/>
        <w:rPr>
          <w:i/>
          <w:iCs/>
          <w:sz w:val="26"/>
          <w:szCs w:val="26"/>
        </w:rPr>
      </w:pPr>
      <w:r>
        <w:rPr>
          <w:i/>
          <w:iCs/>
          <w:sz w:val="26"/>
          <w:szCs w:val="26"/>
        </w:rPr>
        <w:t>Will I be able to get my own single room or bathroom because of my dietary restrictions?</w:t>
      </w:r>
    </w:p>
    <w:p w14:paraId="27ACA2C8" w14:textId="77777777" w:rsidR="00CA2451" w:rsidRDefault="002040B0">
      <w:pPr>
        <w:spacing w:before="240" w:after="240"/>
        <w:rPr>
          <w:sz w:val="24"/>
          <w:szCs w:val="24"/>
        </w:rPr>
      </w:pPr>
      <w:r>
        <w:rPr>
          <w:sz w:val="24"/>
          <w:szCs w:val="24"/>
        </w:rPr>
        <w:t xml:space="preserve">UHDS works to place students in an appropriate residence based on multiple factors including enrollment in or association with certain colleges or extracurricular programs, roommate matching, room availability, economy room preference, and disability accommodations, among others. While much of the residence placement is able to be done systematically and electronically with a specialized matching program, a significant portion must still be done manually. During the process of residence placement and needed accommodations, all factors are taken into consideration on a case-by-case basis. For special requests in regards to residence placement due to allergies or other medically necessary factors, please contact </w:t>
      </w:r>
      <w:hyperlink w:anchor="_h5vmtj64rl78">
        <w:r>
          <w:rPr>
            <w:color w:val="1155CC"/>
            <w:sz w:val="24"/>
            <w:szCs w:val="24"/>
            <w:u w:val="single"/>
          </w:rPr>
          <w:t>Disability Access Services</w:t>
        </w:r>
      </w:hyperlink>
      <w:r>
        <w:rPr>
          <w:sz w:val="24"/>
          <w:szCs w:val="24"/>
        </w:rPr>
        <w:t xml:space="preserve">. </w:t>
      </w:r>
    </w:p>
    <w:p w14:paraId="24EDACA6" w14:textId="77777777" w:rsidR="00CA2451" w:rsidRDefault="00CA2451">
      <w:pPr>
        <w:spacing w:before="240" w:after="240"/>
      </w:pPr>
    </w:p>
    <w:p w14:paraId="4D05158D" w14:textId="77777777" w:rsidR="00CA2451" w:rsidRDefault="002040B0">
      <w:pPr>
        <w:spacing w:before="240" w:after="240"/>
        <w:rPr>
          <w:i/>
          <w:iCs/>
          <w:sz w:val="26"/>
          <w:szCs w:val="26"/>
        </w:rPr>
      </w:pPr>
      <w:r>
        <w:rPr>
          <w:i/>
          <w:iCs/>
          <w:sz w:val="26"/>
          <w:szCs w:val="26"/>
        </w:rPr>
        <w:t>Is there a completely allergen-free or gluten-free dedicated restaurant or dining center on campus?</w:t>
      </w:r>
    </w:p>
    <w:p w14:paraId="5718935E" w14:textId="77777777" w:rsidR="00CA2451" w:rsidRDefault="002040B0">
      <w:pPr>
        <w:spacing w:before="240" w:after="240"/>
        <w:rPr>
          <w:sz w:val="24"/>
          <w:szCs w:val="24"/>
        </w:rPr>
      </w:pPr>
      <w:r>
        <w:rPr>
          <w:sz w:val="24"/>
          <w:szCs w:val="24"/>
        </w:rPr>
        <w:t xml:space="preserve">As addressed in the </w:t>
      </w:r>
      <w:hyperlink w:anchor="_rlwey9p0g0kc">
        <w:r>
          <w:rPr>
            <w:color w:val="1155CC"/>
            <w:sz w:val="24"/>
            <w:szCs w:val="24"/>
            <w:u w:val="single"/>
          </w:rPr>
          <w:t>Introduction</w:t>
        </w:r>
      </w:hyperlink>
      <w:r>
        <w:rPr>
          <w:sz w:val="24"/>
          <w:szCs w:val="24"/>
        </w:rPr>
        <w:t xml:space="preserve"> and section on </w:t>
      </w:r>
      <w:hyperlink w:anchor="_5751e0yjyldt">
        <w:r>
          <w:rPr>
            <w:color w:val="1155CC"/>
            <w:sz w:val="24"/>
            <w:szCs w:val="24"/>
            <w:u w:val="single"/>
          </w:rPr>
          <w:t>Special Diet Management</w:t>
        </w:r>
      </w:hyperlink>
      <w:r>
        <w:rPr>
          <w:sz w:val="24"/>
          <w:szCs w:val="24"/>
        </w:rPr>
        <w:t>, the approach to food allergen and gluten screening and limitation in Dining Services operations is intentionally and comprehensively integrated into all restaurants managed by UHDS within the three dining centers and Memorial Union. This is intended to enable all students to be able to safely dine in any of these locations without exclusion, as opposed to pressuring students with dietary restrictions to dine only in designated locations. Please refer to the sections above for more information about the locations that have designated spaces or menus that are free from certain ingredients.</w:t>
      </w:r>
    </w:p>
    <w:p w14:paraId="64DA727C" w14:textId="77777777" w:rsidR="00CA2451" w:rsidRDefault="00CA2451">
      <w:pPr>
        <w:spacing w:before="240" w:after="240"/>
      </w:pPr>
    </w:p>
    <w:sectPr w:rsidR="00CA2451">
      <w:footerReference w:type="default" r:id="rId6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1D657" w14:textId="77777777" w:rsidR="0060359E" w:rsidRDefault="0060359E" w:rsidP="006E0312">
      <w:pPr>
        <w:spacing w:line="240" w:lineRule="auto"/>
      </w:pPr>
      <w:r>
        <w:separator/>
      </w:r>
    </w:p>
  </w:endnote>
  <w:endnote w:type="continuationSeparator" w:id="0">
    <w:p w14:paraId="38542C1B" w14:textId="77777777" w:rsidR="0060359E" w:rsidRDefault="0060359E" w:rsidP="006E03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0D074F2-73FF-45D8-A630-D560BA07B0A1}"/>
  </w:font>
  <w:font w:name="Cambria">
    <w:panose1 w:val="02040503050406030204"/>
    <w:charset w:val="00"/>
    <w:family w:val="roman"/>
    <w:pitch w:val="variable"/>
    <w:sig w:usb0="E00006FF" w:usb1="420024FF" w:usb2="02000000" w:usb3="00000000" w:csb0="0000019F" w:csb1="00000000"/>
    <w:embedRegular r:id="rId2" w:fontKey="{69F01644-E506-4BF0-8DE6-22449CF3F8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439348"/>
      <w:docPartObj>
        <w:docPartGallery w:val="Page Numbers (Bottom of Page)"/>
        <w:docPartUnique/>
      </w:docPartObj>
    </w:sdtPr>
    <w:sdtEndPr>
      <w:rPr>
        <w:noProof/>
      </w:rPr>
    </w:sdtEndPr>
    <w:sdtContent>
      <w:p w14:paraId="02E91F96" w14:textId="33AB01C1" w:rsidR="006E0312" w:rsidRDefault="006E03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48C02B" w14:textId="77777777" w:rsidR="006E0312" w:rsidRDefault="006E0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C2666" w14:textId="77777777" w:rsidR="0060359E" w:rsidRDefault="0060359E" w:rsidP="006E0312">
      <w:pPr>
        <w:spacing w:line="240" w:lineRule="auto"/>
      </w:pPr>
      <w:r>
        <w:separator/>
      </w:r>
    </w:p>
  </w:footnote>
  <w:footnote w:type="continuationSeparator" w:id="0">
    <w:p w14:paraId="2BC1D133" w14:textId="77777777" w:rsidR="0060359E" w:rsidRDefault="0060359E" w:rsidP="006E031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readOnly" w:formatting="1" w:enforcement="1" w:cryptProviderType="rsaAES" w:cryptAlgorithmClass="hash" w:cryptAlgorithmType="typeAny" w:cryptAlgorithmSid="14" w:cryptSpinCount="100000" w:hash="Wv4ime+WSWycCRrwmRGHeLdJRzyRsb6f5PomWtxQoTC+Xc5lg2Y5XaZ0dyK5IQFS2q8IK0fcaZqo2vIrTlzSqw==" w:salt="53ftD4LVc6+JbAHroRe0K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451"/>
    <w:rsid w:val="00043206"/>
    <w:rsid w:val="0010150F"/>
    <w:rsid w:val="002040B0"/>
    <w:rsid w:val="0060359E"/>
    <w:rsid w:val="006307FF"/>
    <w:rsid w:val="006E0312"/>
    <w:rsid w:val="00835EB3"/>
    <w:rsid w:val="009363E5"/>
    <w:rsid w:val="00B77799"/>
    <w:rsid w:val="00CA2451"/>
    <w:rsid w:val="00EB1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F0F9A"/>
  <w15:docId w15:val="{FF7072D2-FA20-4A9B-B1D9-E2585E25A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6E0312"/>
    <w:pPr>
      <w:tabs>
        <w:tab w:val="center" w:pos="4680"/>
        <w:tab w:val="right" w:pos="9360"/>
      </w:tabs>
      <w:spacing w:line="240" w:lineRule="auto"/>
    </w:pPr>
  </w:style>
  <w:style w:type="character" w:customStyle="1" w:styleId="HeaderChar">
    <w:name w:val="Header Char"/>
    <w:basedOn w:val="DefaultParagraphFont"/>
    <w:link w:val="Header"/>
    <w:uiPriority w:val="99"/>
    <w:rsid w:val="006E0312"/>
  </w:style>
  <w:style w:type="paragraph" w:styleId="Footer">
    <w:name w:val="footer"/>
    <w:basedOn w:val="Normal"/>
    <w:link w:val="FooterChar"/>
    <w:uiPriority w:val="99"/>
    <w:unhideWhenUsed/>
    <w:rsid w:val="006E0312"/>
    <w:pPr>
      <w:tabs>
        <w:tab w:val="center" w:pos="4680"/>
        <w:tab w:val="right" w:pos="9360"/>
      </w:tabs>
      <w:spacing w:line="240" w:lineRule="auto"/>
    </w:pPr>
  </w:style>
  <w:style w:type="character" w:customStyle="1" w:styleId="FooterChar">
    <w:name w:val="Footer Char"/>
    <w:basedOn w:val="DefaultParagraphFont"/>
    <w:link w:val="Footer"/>
    <w:uiPriority w:val="99"/>
    <w:rsid w:val="006E0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studenthealth.oregonstate.edu/wellness/nutrition" TargetMode="External"/><Relationship Id="rId21" Type="http://schemas.openxmlformats.org/officeDocument/2006/relationships/hyperlink" Target="https://studentlife.oregonstate.edu/bnc" TargetMode="External"/><Relationship Id="rId42" Type="http://schemas.openxmlformats.org/officeDocument/2006/relationships/hyperlink" Target="https://oregonstate.qualtrics.com/jfe/form/SV_1NqUGaHvqOwwh8O" TargetMode="External"/><Relationship Id="rId47" Type="http://schemas.openxmlformats.org/officeDocument/2006/relationships/hyperlink" Target="mailto:uhdsnutrition@oregonstate.edu" TargetMode="External"/><Relationship Id="rId63" Type="http://schemas.openxmlformats.org/officeDocument/2006/relationships/image" Target="media/image16.png"/><Relationship Id="rId68" Type="http://schemas.openxmlformats.org/officeDocument/2006/relationships/fontTable" Target="fontTable.xml"/><Relationship Id="rId7" Type="http://schemas.openxmlformats.org/officeDocument/2006/relationships/hyperlink" Target="https://uhds.oregonstate.edu/menus/daily-nutrition-info" TargetMode="External"/><Relationship Id="rId2" Type="http://schemas.openxmlformats.org/officeDocument/2006/relationships/settings" Target="settings.xml"/><Relationship Id="rId16" Type="http://schemas.openxmlformats.org/officeDocument/2006/relationships/hyperlink" Target="https://uhds.oregonstate.edu/food/campus-markets" TargetMode="External"/><Relationship Id="rId29" Type="http://schemas.openxmlformats.org/officeDocument/2006/relationships/hyperlink" Target="https://www.hygiena.com/food-safety/allergen-detection/gluten" TargetMode="External"/><Relationship Id="rId11" Type="http://schemas.openxmlformats.org/officeDocument/2006/relationships/hyperlink" Target="https://uhds.oregonstate.edu/dietary-needs-menu-guide" TargetMode="External"/><Relationship Id="rId24" Type="http://schemas.openxmlformats.org/officeDocument/2006/relationships/hyperlink" Target="https://ds.oregonstate.edu/" TargetMode="External"/><Relationship Id="rId32" Type="http://schemas.openxmlformats.org/officeDocument/2006/relationships/hyperlink" Target="mailto:uhds.nutrition@oregonstate.edu" TargetMode="External"/><Relationship Id="rId37" Type="http://schemas.openxmlformats.org/officeDocument/2006/relationships/hyperlink" Target="https://www.samhealth.org/find-a-location/g/good-samaritan-regional-medical-center" TargetMode="External"/><Relationship Id="rId40" Type="http://schemas.openxmlformats.org/officeDocument/2006/relationships/hyperlink" Target="https://food.oregonstate.edu/orange-cash" TargetMode="External"/><Relationship Id="rId45" Type="http://schemas.openxmlformats.org/officeDocument/2006/relationships/hyperlink" Target="https://www.fda.gov/food/food-labeling-nutrition/gluten-free-labeling-foods" TargetMode="External"/><Relationship Id="rId53" Type="http://schemas.openxmlformats.org/officeDocument/2006/relationships/image" Target="media/image8.png"/><Relationship Id="rId58" Type="http://schemas.openxmlformats.org/officeDocument/2006/relationships/image" Target="media/image12.png"/><Relationship Id="rId66" Type="http://schemas.openxmlformats.org/officeDocument/2006/relationships/hyperlink" Target="https://admissions.oregonstate.edu/first-year-students" TargetMode="External"/><Relationship Id="rId5" Type="http://schemas.openxmlformats.org/officeDocument/2006/relationships/endnotes" Target="endnotes.xml"/><Relationship Id="rId61" Type="http://schemas.openxmlformats.org/officeDocument/2006/relationships/image" Target="media/image14.png"/><Relationship Id="rId19" Type="http://schemas.openxmlformats.org/officeDocument/2006/relationships/hyperlink" Target="https://oregonhunger.org/snap-for-students/" TargetMode="External"/><Relationship Id="rId14" Type="http://schemas.openxmlformats.org/officeDocument/2006/relationships/hyperlink" Target="https://uhds.oregonstate.edu/housing/what-bring-leave-behind" TargetMode="External"/><Relationship Id="rId22" Type="http://schemas.openxmlformats.org/officeDocument/2006/relationships/hyperlink" Target="https://food.oregonstate.edu/robot-delivery-mobile-ordering" TargetMode="External"/><Relationship Id="rId27" Type="http://schemas.openxmlformats.org/officeDocument/2006/relationships/hyperlink" Target="https://studenthealth.oregonstate.edu/wellness/nutrition" TargetMode="External"/><Relationship Id="rId30" Type="http://schemas.openxmlformats.org/officeDocument/2006/relationships/hyperlink" Target="https://uhds.oregonstate.edu/dietary-needs-menu-guide" TargetMode="External"/><Relationship Id="rId35" Type="http://schemas.openxmlformats.org/officeDocument/2006/relationships/hyperlink" Target="https://uhds.oregonstate.edu/dietary-needs-menu-guide" TargetMode="External"/><Relationship Id="rId43" Type="http://schemas.openxmlformats.org/officeDocument/2006/relationships/hyperlink" Target="mailto:uhds.nutrition@oregonstate.edu" TargetMode="External"/><Relationship Id="rId48" Type="http://schemas.openxmlformats.org/officeDocument/2006/relationships/image" Target="media/image3.png"/><Relationship Id="rId56" Type="http://schemas.openxmlformats.org/officeDocument/2006/relationships/hyperlink" Target="https://www.fda.gov/food/food-allergensgluten-free-guidance-documents-regulatory-information/food-allergen-labeling-and-consumer-protection-act-2004-falcpa" TargetMode="External"/><Relationship Id="rId64" Type="http://schemas.openxmlformats.org/officeDocument/2006/relationships/hyperlink" Target="https://uhds.oregonstate.edu/sites/uhds.oregonstate.edu/files/2023-02/uhds_2023_2024_room_and_dining_contract.pdf" TargetMode="External"/><Relationship Id="rId69" Type="http://schemas.openxmlformats.org/officeDocument/2006/relationships/theme" Target="theme/theme1.xml"/><Relationship Id="rId8" Type="http://schemas.openxmlformats.org/officeDocument/2006/relationships/hyperlink" Target="https://uhds.oregonstate.edu/menus/daily-nutrition-info" TargetMode="External"/><Relationship Id="rId51" Type="http://schemas.openxmlformats.org/officeDocument/2006/relationships/image" Target="media/image6.png"/><Relationship Id="rId3" Type="http://schemas.openxmlformats.org/officeDocument/2006/relationships/webSettings" Target="webSettings.xml"/><Relationship Id="rId12" Type="http://schemas.openxmlformats.org/officeDocument/2006/relationships/hyperlink" Target="https://uhds.oregonstate.edu/housing/halls" TargetMode="External"/><Relationship Id="rId17" Type="http://schemas.openxmlformats.org/officeDocument/2006/relationships/hyperlink" Target="https://uhds.oregonstate.edu/dining/dining-plan-options" TargetMode="External"/><Relationship Id="rId25" Type="http://schemas.openxmlformats.org/officeDocument/2006/relationships/hyperlink" Target="https://ds.oregonstate.edu/" TargetMode="External"/><Relationship Id="rId33" Type="http://schemas.openxmlformats.org/officeDocument/2006/relationships/hyperlink" Target="https://uhds.oregonstate.edu/dietary-needs-menu-guide" TargetMode="External"/><Relationship Id="rId38" Type="http://schemas.openxmlformats.org/officeDocument/2006/relationships/hyperlink" Target="https://uhds.oregonstate.edu/dining/dining-plan-options" TargetMode="External"/><Relationship Id="rId46" Type="http://schemas.openxmlformats.org/officeDocument/2006/relationships/image" Target="media/image2.png"/><Relationship Id="rId59" Type="http://schemas.openxmlformats.org/officeDocument/2006/relationships/hyperlink" Target="https://www.fda.gov/food/food-allergensgluten-free-guidance-documents-regulatory-information/food-allergen-labeling-and-consumer-protection-act-2004-falcpa" TargetMode="External"/><Relationship Id="rId67" Type="http://schemas.openxmlformats.org/officeDocument/2006/relationships/footer" Target="footer1.xml"/><Relationship Id="rId20" Type="http://schemas.openxmlformats.org/officeDocument/2006/relationships/hyperlink" Target="https://oregonhunger.org/snap-for-students/" TargetMode="External"/><Relationship Id="rId41" Type="http://schemas.openxmlformats.org/officeDocument/2006/relationships/hyperlink" Target="https://oregonstate.qualtrics.com/jfe/form/SV_1NqUGaHvqOwwh8O" TargetMode="External"/><Relationship Id="rId54" Type="http://schemas.openxmlformats.org/officeDocument/2006/relationships/image" Target="media/image9.png"/><Relationship Id="rId62"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yperlink" Target="mailto:uhds.nutrition@oregonstate.edu" TargetMode="External"/><Relationship Id="rId15" Type="http://schemas.openxmlformats.org/officeDocument/2006/relationships/hyperlink" Target="https://uhds.oregonstate.edu/housing/what-bring-leave-behind" TargetMode="External"/><Relationship Id="rId23" Type="http://schemas.openxmlformats.org/officeDocument/2006/relationships/hyperlink" Target="https://food.oregonstate.edu/robot-delivery-mobile-ordering" TargetMode="External"/><Relationship Id="rId28" Type="http://schemas.openxmlformats.org/officeDocument/2006/relationships/hyperlink" Target="https://oregonstate.starrezhousing.com/StarRezWeb/" TargetMode="External"/><Relationship Id="rId36" Type="http://schemas.openxmlformats.org/officeDocument/2006/relationships/hyperlink" Target="https://www.samhealth.org/find-a-location/g/good-samaritan-regional-medical-center" TargetMode="External"/><Relationship Id="rId49" Type="http://schemas.openxmlformats.org/officeDocument/2006/relationships/image" Target="media/image4.png"/><Relationship Id="rId57" Type="http://schemas.openxmlformats.org/officeDocument/2006/relationships/image" Target="media/image11.png"/><Relationship Id="rId10" Type="http://schemas.openxmlformats.org/officeDocument/2006/relationships/hyperlink" Target="https://uhds.oregonstate.edu/dietary-needs-menu-guide" TargetMode="External"/><Relationship Id="rId31" Type="http://schemas.openxmlformats.org/officeDocument/2006/relationships/hyperlink" Target="https://uhds.oregonstate.edu/dietary-needs-menu-guide" TargetMode="External"/><Relationship Id="rId44" Type="http://schemas.openxmlformats.org/officeDocument/2006/relationships/image" Target="media/image1.png"/><Relationship Id="rId52" Type="http://schemas.openxmlformats.org/officeDocument/2006/relationships/image" Target="media/image7.png"/><Relationship Id="rId60" Type="http://schemas.openxmlformats.org/officeDocument/2006/relationships/image" Target="media/image13.png"/><Relationship Id="rId65" Type="http://schemas.openxmlformats.org/officeDocument/2006/relationships/hyperlink" Target="https://studentlife.oregonstate.edu/first-year-experience-live-residency-requirement" TargetMode="External"/><Relationship Id="rId4" Type="http://schemas.openxmlformats.org/officeDocument/2006/relationships/footnotes" Target="footnotes.xml"/><Relationship Id="rId9" Type="http://schemas.openxmlformats.org/officeDocument/2006/relationships/hyperlink" Target="https://www.foodallergy.org/" TargetMode="External"/><Relationship Id="rId13" Type="http://schemas.openxmlformats.org/officeDocument/2006/relationships/hyperlink" Target="https://uhds.oregonstate.edu/housing/halls" TargetMode="External"/><Relationship Id="rId18" Type="http://schemas.openxmlformats.org/officeDocument/2006/relationships/hyperlink" Target="https://food.oregonstate.edu/robot-delivery-mobile-ordering" TargetMode="External"/><Relationship Id="rId39" Type="http://schemas.openxmlformats.org/officeDocument/2006/relationships/hyperlink" Target="https://uhds.oregonstate.edu/sites/uhds.oregonstate.edu/files/2023-02/uhds_2023_2024_room_and_dining_contract.pdf" TargetMode="External"/><Relationship Id="rId34" Type="http://schemas.openxmlformats.org/officeDocument/2006/relationships/hyperlink" Target="https://uhds.oregonstate.edu/dietary-needs-menu-guide" TargetMode="External"/><Relationship Id="rId50" Type="http://schemas.openxmlformats.org/officeDocument/2006/relationships/image" Target="media/image5.png"/><Relationship Id="rId55" Type="http://schemas.openxmlformats.org/officeDocument/2006/relationships/image" Target="media/image10.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6398</Words>
  <Characters>36475</Characters>
  <Application>Microsoft Office Word</Application>
  <DocSecurity>8</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42788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Taber, Bailey</dc:creator>
  <cp:lastModifiedBy>Pierce, Erika L</cp:lastModifiedBy>
  <cp:revision>2</cp:revision>
  <dcterms:created xsi:type="dcterms:W3CDTF">2026-04-16T21:16:00Z</dcterms:created>
  <dcterms:modified xsi:type="dcterms:W3CDTF">2026-04-16T21:16:00Z</dcterms:modified>
</cp:coreProperties>
</file>